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0" w:type="dxa"/>
          <w:right w:w="108" w:type="dxa"/>
        </w:tblCellMar>
      </w:tblPr>
      <w:tblGrid>
        <w:gridCol w:w="9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0" w:type="dxa"/>
            <w:right w:w="108" w:type="dxa"/>
          </w:tblCellMar>
        </w:tblPrEx>
        <w:trPr>
          <w:trHeight w:val="12477" w:hRule="atLeast"/>
        </w:trPr>
        <w:tc>
          <w:tcPr>
            <w:tcW w:w="9360" w:type="dxa"/>
          </w:tcPr>
          <w:p>
            <w:pPr>
              <w:widowControl/>
              <w:spacing w:line="520" w:lineRule="exact"/>
              <w:rPr>
                <w:rFonts w:ascii="Times New Roman" w:hAnsi="Times New Roman" w:eastAsia="仿宋_GB2312" w:cs="仿宋"/>
                <w:color w:val="FF0000"/>
                <w:sz w:val="28"/>
                <w:szCs w:val="28"/>
              </w:rPr>
            </w:pPr>
            <w:r>
              <w:rPr>
                <w:rFonts w:ascii="Times New Roman" w:hAnsi="Times New Roman" w:eastAsia="仿宋_GB2312" w:cs="仿宋"/>
                <w:b/>
                <w:bCs/>
                <w:sz w:val="28"/>
                <w:szCs w:val="28"/>
              </w:rPr>
              <w:t xml:space="preserve"> </w:t>
            </w:r>
            <w:r>
              <w:rPr>
                <w:rFonts w:hint="eastAsia" w:ascii="Times New Roman" w:hAnsi="Times New Roman" w:eastAsia="仿宋_GB2312" w:cs="仿宋"/>
                <w:b/>
                <w:bCs/>
                <w:sz w:val="30"/>
                <w:szCs w:val="28"/>
              </w:rPr>
              <w:t>审批意见：</w:t>
            </w:r>
            <w:r>
              <w:rPr>
                <w:rFonts w:ascii="Times New Roman" w:hAnsi="Times New Roman" w:eastAsia="仿宋_GB2312" w:cs="仿宋"/>
                <w:sz w:val="30"/>
                <w:szCs w:val="28"/>
              </w:rPr>
              <w:t xml:space="preserve"> </w:t>
            </w:r>
            <w:r>
              <w:rPr>
                <w:rFonts w:ascii="Times New Roman" w:hAnsi="Times New Roman" w:eastAsia="仿宋_GB2312" w:cs="仿宋"/>
                <w:sz w:val="28"/>
                <w:szCs w:val="28"/>
              </w:rPr>
              <w:t xml:space="preserve">                          </w:t>
            </w:r>
            <w:r>
              <w:rPr>
                <w:rFonts w:hint="eastAsia" w:ascii="Times New Roman" w:hAnsi="仿宋" w:eastAsia="仿宋_GB2312" w:cs="仿宋"/>
                <w:b/>
                <w:sz w:val="28"/>
                <w:szCs w:val="28"/>
              </w:rPr>
              <w:t>岳环君分环评</w:t>
            </w:r>
            <w:r>
              <w:rPr>
                <w:rFonts w:hint="eastAsia" w:ascii="Times New Roman" w:hAnsi="仿宋" w:eastAsia="仿宋_GB2312" w:cs="仿宋"/>
                <w:b/>
                <w:sz w:val="28"/>
                <w:szCs w:val="28"/>
                <w:lang w:eastAsia="zh-CN"/>
              </w:rPr>
              <w:t>批</w:t>
            </w:r>
            <w:r>
              <w:rPr>
                <w:rFonts w:hint="eastAsia" w:ascii="Times New Roman" w:hAnsi="仿宋" w:eastAsia="仿宋_GB2312" w:cs="仿宋"/>
                <w:b/>
                <w:sz w:val="28"/>
                <w:szCs w:val="28"/>
              </w:rPr>
              <w:t>［</w:t>
            </w:r>
            <w:r>
              <w:rPr>
                <w:rFonts w:ascii="Times New Roman" w:hAnsi="Times New Roman" w:eastAsia="仿宋_GB2312" w:cs="仿宋"/>
                <w:b/>
                <w:sz w:val="28"/>
                <w:szCs w:val="28"/>
              </w:rPr>
              <w:t>201</w:t>
            </w:r>
            <w:r>
              <w:rPr>
                <w:rFonts w:hint="eastAsia" w:ascii="Times New Roman" w:hAnsi="Times New Roman" w:eastAsia="仿宋_GB2312" w:cs="仿宋"/>
                <w:b/>
                <w:sz w:val="28"/>
                <w:szCs w:val="28"/>
                <w:lang w:val="en-US" w:eastAsia="zh-CN"/>
              </w:rPr>
              <w:t>8</w:t>
            </w:r>
            <w:r>
              <w:rPr>
                <w:rFonts w:hint="eastAsia" w:ascii="Times New Roman" w:hAnsi="仿宋" w:eastAsia="仿宋_GB2312" w:cs="仿宋"/>
                <w:b/>
                <w:sz w:val="28"/>
                <w:szCs w:val="28"/>
              </w:rPr>
              <w:t>］</w:t>
            </w:r>
            <w:r>
              <w:rPr>
                <w:rFonts w:hint="eastAsia" w:ascii="Times New Roman" w:hAnsi="仿宋" w:eastAsia="仿宋_GB2312" w:cs="仿宋"/>
                <w:b/>
                <w:sz w:val="28"/>
                <w:szCs w:val="28"/>
                <w:lang w:val="en-US" w:eastAsia="zh-CN"/>
              </w:rPr>
              <w:t>10</w:t>
            </w:r>
            <w:r>
              <w:rPr>
                <w:rFonts w:hint="eastAsia" w:ascii="Times New Roman" w:hAnsi="仿宋" w:eastAsia="仿宋_GB2312" w:cs="仿宋"/>
                <w:b/>
                <w:sz w:val="28"/>
                <w:szCs w:val="28"/>
              </w:rPr>
              <w:t>号</w:t>
            </w:r>
          </w:p>
          <w:p>
            <w:pPr>
              <w:snapToGrid w:val="0"/>
              <w:ind w:firstLine="560" w:firstLineChars="200"/>
              <w:rPr>
                <w:rFonts w:ascii="仿宋_GB2312" w:hAnsi="仿宋_GB2312" w:eastAsia="仿宋_GB2312" w:cs="仿宋_GB2312"/>
                <w:sz w:val="28"/>
              </w:rPr>
            </w:pPr>
            <w:r>
              <w:rPr>
                <w:rFonts w:hint="eastAsia" w:ascii="仿宋_GB2312" w:hAnsi="仿宋_GB2312" w:eastAsia="仿宋_GB2312" w:cs="仿宋_GB2312"/>
                <w:sz w:val="28"/>
                <w:lang w:eastAsia="zh-CN"/>
              </w:rPr>
              <w:t>岳阳市君山区城市建设投资有限公司拟投资5000万元在岳阳市君山区柳林洲街道建设君山区中心城区排水设施建设项目（一期）。建设内容主要包括污水提升泵站、排水管网及配套工程等辅助工程，君山区中心城区排水管网主要分布于光明路以东，排水管网总计30000m，包括新建排水设施支管型号为Ф400~600，长度为20000m；主管型号为Ф1000，长度为10000m。项目污水提升泵站占地面积为6435.32m</w:t>
            </w:r>
            <w:r>
              <w:rPr>
                <w:rFonts w:hint="eastAsia" w:ascii="仿宋_GB2312" w:hAnsi="仿宋_GB2312" w:eastAsia="仿宋_GB2312" w:cs="仿宋_GB2312"/>
                <w:sz w:val="28"/>
                <w:vertAlign w:val="superscript"/>
                <w:lang w:eastAsia="zh-CN"/>
              </w:rPr>
              <w:t>2</w:t>
            </w:r>
            <w:r>
              <w:rPr>
                <w:rFonts w:hint="eastAsia" w:ascii="仿宋_GB2312" w:hAnsi="仿宋_GB2312" w:eastAsia="仿宋_GB2312" w:cs="仿宋_GB2312"/>
                <w:sz w:val="28"/>
                <w:lang w:eastAsia="zh-CN"/>
              </w:rPr>
              <w:t>，污水提升泵站设计规模为2万m</w:t>
            </w:r>
            <w:r>
              <w:rPr>
                <w:rFonts w:hint="eastAsia" w:ascii="仿宋_GB2312" w:hAnsi="仿宋_GB2312" w:eastAsia="仿宋_GB2312" w:cs="仿宋_GB2312"/>
                <w:sz w:val="28"/>
                <w:vertAlign w:val="superscript"/>
                <w:lang w:eastAsia="zh-CN"/>
              </w:rPr>
              <w:t>3</w:t>
            </w:r>
            <w:r>
              <w:rPr>
                <w:rFonts w:hint="eastAsia" w:ascii="仿宋_GB2312" w:hAnsi="仿宋_GB2312" w:eastAsia="仿宋_GB2312" w:cs="仿宋_GB2312"/>
                <w:sz w:val="28"/>
                <w:lang w:eastAsia="zh-CN"/>
              </w:rPr>
              <w:t>/d。纳污范围为君山区中心城区光明路以东片区，项目建成后泵站进水管将连接君山区中心城区光明路以东片区管网，污水最终由主干管汇入君山区城区污水净化中心。</w:t>
            </w:r>
            <w:r>
              <w:rPr>
                <w:rFonts w:hint="eastAsia" w:ascii="仿宋_GB2312" w:hAnsi="仿宋_GB2312" w:eastAsia="仿宋_GB2312" w:cs="仿宋_GB2312"/>
                <w:sz w:val="28"/>
              </w:rPr>
              <w:t>根据广西新北环环保科技有限公司编制的环境影响报告表基本内容、结论和专家审查意见，从环境保护角度考虑，同意本项目的建设。</w:t>
            </w:r>
          </w:p>
          <w:p>
            <w:pPr>
              <w:snapToGrid w:val="0"/>
              <w:ind w:firstLine="560" w:firstLineChars="200"/>
              <w:rPr>
                <w:rFonts w:ascii="仿宋_GB2312" w:hAnsi="仿宋_GB2312" w:eastAsia="仿宋_GB2312" w:cs="仿宋_GB2312"/>
                <w:sz w:val="28"/>
              </w:rPr>
            </w:pPr>
            <w:r>
              <w:rPr>
                <w:rFonts w:hint="eastAsia" w:ascii="仿宋_GB2312" w:hAnsi="仿宋_GB2312" w:eastAsia="仿宋_GB2312" w:cs="仿宋_GB2312"/>
                <w:sz w:val="28"/>
              </w:rPr>
              <w:t>一、建设单位须逐项落实环评报告表提出的各项环保措施，严格执行环保“三同时”制度，配套建设污染防治设施，加强环境管理，确保外排污染物长期稳定达标排放。在工程设计、建设和管理中，应着重注意以下问题：</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1、废水污染防治。施工废水经沉淀处理后回用于场地内抑尘；施工期生活污水经化粪池处理后用作农肥，禁止外排。</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2、大气污染防治。项目不设施工营地和混凝土搅拌站，不设置临时施工生产区，所用混凝土均外购并经专用车辆运至铺路现场施工使用；严禁大风大雨等恶劣天气施工，配备洒水设备并定期洒水抑尘；合理安排物料运输路线，土方、砂石等散装物料运输车辆加盖或加蓬，防止物料洒落；施工区域和物料堆场设置1.8m以上围挡，严禁物料露天堆放。加强对施工地周边环境敏感点的施工管理，减少粉尘等对周边环境敏感点的影响。</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3、噪声污染防治。科学制定施工计划和运输方案，合理选取车辆运输时间、路线，采用低噪声设备、先进施工工艺和合适的施工方式，加强运输车辆、施工机械和设备管理及维护。禁止禁止夜间（22：00～次日6：00）施工，合理布置泵站位置，对泵房墙体采用吸音隔声材料等措施，确保营运期厂界噪声达到《工业企业厂界环境噪声排放标准》（GB12348-2008）2类标准要求。</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4、固体废物污染防治。统筹安排工程中的填挖方、弃渣，做到土石方平衡，避免大填大挖。做好路基周边的护坡、排水、绿化及平整工作；本项目不设取弃土场，土石方即挖即运。生活垃圾经收集后由环卫部门统一及时处理。</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5、项目建设前需向有关部门调查泵站及周边管线分布情况，施工前需制定管沟开挖过程中出现损坏城市供水、通信管道、燃气管道后的应急预案。</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6、施工过程中若发现化石、古钱币等有价值的古迹、文物或者危险废物时，应及时向相关主管部门汇报，必要时暂停施工。</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7</w:t>
            </w:r>
            <w:r>
              <w:rPr>
                <w:rFonts w:hint="eastAsia" w:ascii="仿宋_GB2312" w:hAnsi="仿宋_GB2312" w:eastAsia="仿宋_GB2312" w:cs="仿宋_GB2312"/>
                <w:sz w:val="28"/>
              </w:rPr>
              <w:t>、生态影响专题。该项目生态影响专题报告通过了专家评审，已在我局进行了备案登记。要求加强项目区域绿化，完善施工植被修复，选用乡土绿化树种，防止外来物种入侵，确保本地区生态安全。</w:t>
            </w:r>
          </w:p>
          <w:p>
            <w:pPr>
              <w:snapToGrid w:val="0"/>
              <w:ind w:firstLine="560" w:firstLineChars="200"/>
              <w:rPr>
                <w:rFonts w:ascii="仿宋_GB2312" w:hAnsi="仿宋_GB2312" w:eastAsia="仿宋_GB2312" w:cs="仿宋_GB2312"/>
                <w:sz w:val="28"/>
              </w:rPr>
            </w:pPr>
            <w:r>
              <w:rPr>
                <w:rFonts w:hint="eastAsia" w:ascii="仿宋_GB2312" w:hAnsi="仿宋_GB2312" w:eastAsia="仿宋_GB2312" w:cs="仿宋_GB2312"/>
                <w:sz w:val="28"/>
              </w:rPr>
              <w:t>二、你单位应在收到本批复后</w:t>
            </w:r>
            <w:r>
              <w:rPr>
                <w:rFonts w:ascii="仿宋_GB2312" w:hAnsi="仿宋_GB2312" w:eastAsia="仿宋_GB2312" w:cs="仿宋_GB2312"/>
                <w:sz w:val="28"/>
              </w:rPr>
              <w:t>15</w:t>
            </w:r>
            <w:r>
              <w:rPr>
                <w:rFonts w:hint="eastAsia" w:ascii="仿宋_GB2312" w:hAnsi="仿宋_GB2312" w:eastAsia="仿宋_GB2312" w:cs="仿宋_GB2312"/>
                <w:sz w:val="28"/>
              </w:rPr>
              <w:t>个工作日内，将批复及</w:t>
            </w:r>
            <w:r>
              <w:rPr>
                <w:rFonts w:hint="eastAsia" w:ascii="仿宋_GB2312" w:hAnsi="仿宋_GB2312" w:eastAsia="仿宋_GB2312" w:cs="仿宋_GB2312"/>
                <w:sz w:val="28"/>
                <w:lang w:eastAsia="zh-CN"/>
              </w:rPr>
              <w:t>该项目环评报批稿</w:t>
            </w:r>
            <w:r>
              <w:rPr>
                <w:rFonts w:hint="eastAsia" w:ascii="仿宋_GB2312" w:hAnsi="仿宋_GB2312" w:eastAsia="仿宋_GB2312" w:cs="仿宋_GB2312"/>
                <w:sz w:val="28"/>
              </w:rPr>
              <w:t>送至岳阳市环境保护局</w:t>
            </w:r>
            <w:r>
              <w:rPr>
                <w:rFonts w:hint="eastAsia" w:ascii="仿宋_GB2312" w:hAnsi="仿宋_GB2312" w:eastAsia="仿宋_GB2312" w:cs="仿宋_GB2312"/>
                <w:sz w:val="28"/>
                <w:lang w:eastAsia="zh-CN"/>
              </w:rPr>
              <w:t>君山</w:t>
            </w:r>
            <w:r>
              <w:rPr>
                <w:rFonts w:hint="eastAsia" w:ascii="仿宋_GB2312" w:hAnsi="仿宋_GB2312" w:eastAsia="仿宋_GB2312" w:cs="仿宋_GB2312"/>
                <w:sz w:val="28"/>
              </w:rPr>
              <w:t>区分局</w:t>
            </w:r>
            <w:r>
              <w:rPr>
                <w:rFonts w:hint="eastAsia" w:ascii="仿宋_GB2312" w:hAnsi="仿宋_GB2312" w:eastAsia="仿宋_GB2312" w:cs="仿宋_GB2312"/>
                <w:sz w:val="28"/>
                <w:lang w:eastAsia="zh-CN"/>
              </w:rPr>
              <w:t>环境监察大队</w:t>
            </w:r>
            <w:r>
              <w:rPr>
                <w:rFonts w:hint="eastAsia" w:ascii="仿宋_GB2312" w:hAnsi="仿宋_GB2312" w:eastAsia="仿宋_GB2312" w:cs="仿宋_GB2312"/>
                <w:sz w:val="28"/>
              </w:rPr>
              <w:t>、广西新北环环保科技有限公司。</w:t>
            </w:r>
            <w:r>
              <w:rPr>
                <w:rFonts w:ascii="仿宋_GB2312" w:hAnsi="仿宋_GB2312" w:eastAsia="仿宋_GB2312" w:cs="仿宋_GB2312"/>
                <w:sz w:val="28"/>
              </w:rPr>
              <w:t xml:space="preserve"> </w:t>
            </w:r>
          </w:p>
          <w:p>
            <w:pPr>
              <w:snapToGrid w:val="0"/>
              <w:ind w:firstLine="560" w:firstLineChars="200"/>
              <w:rPr>
                <w:rFonts w:hint="eastAsia" w:ascii="仿宋_GB2312" w:hAnsi="仿宋_GB2312" w:eastAsia="仿宋_GB2312" w:cs="仿宋_GB2312"/>
                <w:sz w:val="28"/>
              </w:rPr>
            </w:pPr>
            <w:r>
              <w:rPr>
                <w:rFonts w:hint="eastAsia" w:ascii="仿宋_GB2312" w:hAnsi="仿宋_GB2312" w:eastAsia="仿宋_GB2312" w:cs="仿宋_GB2312"/>
                <w:sz w:val="28"/>
              </w:rPr>
              <w:t>三、岳阳市环境保护局</w:t>
            </w:r>
            <w:r>
              <w:rPr>
                <w:rFonts w:hint="eastAsia" w:ascii="仿宋_GB2312" w:hAnsi="仿宋_GB2312" w:eastAsia="仿宋_GB2312" w:cs="仿宋_GB2312"/>
                <w:sz w:val="28"/>
                <w:lang w:eastAsia="zh-CN"/>
              </w:rPr>
              <w:t>君山</w:t>
            </w:r>
            <w:r>
              <w:rPr>
                <w:rFonts w:hint="eastAsia" w:ascii="仿宋_GB2312" w:hAnsi="仿宋_GB2312" w:eastAsia="仿宋_GB2312" w:cs="仿宋_GB2312"/>
                <w:sz w:val="28"/>
              </w:rPr>
              <w:t>区分局</w:t>
            </w:r>
            <w:r>
              <w:rPr>
                <w:rFonts w:hint="eastAsia" w:ascii="仿宋_GB2312" w:hAnsi="仿宋_GB2312" w:eastAsia="仿宋_GB2312" w:cs="仿宋_GB2312"/>
                <w:sz w:val="28"/>
                <w:lang w:eastAsia="zh-CN"/>
              </w:rPr>
              <w:t>环境监察大队</w:t>
            </w:r>
            <w:r>
              <w:rPr>
                <w:rFonts w:hint="eastAsia" w:ascii="仿宋_GB2312" w:hAnsi="仿宋_GB2312" w:eastAsia="仿宋_GB2312" w:cs="仿宋_GB2312"/>
                <w:sz w:val="28"/>
              </w:rPr>
              <w:t>负责项目建设期和营运期的日常环境监管。</w:t>
            </w:r>
          </w:p>
          <w:p>
            <w:pPr>
              <w:snapToGrid w:val="0"/>
              <w:rPr>
                <w:rFonts w:ascii="仿宋_GB2312" w:hAnsi="Times New Roman" w:eastAsia="仿宋_GB2312"/>
                <w:sz w:val="28"/>
              </w:rPr>
            </w:pPr>
          </w:p>
          <w:p>
            <w:pPr>
              <w:snapToGrid w:val="0"/>
              <w:rPr>
                <w:rFonts w:ascii="仿宋_GB2312" w:hAnsi="Times New Roman" w:eastAsia="仿宋_GB2312"/>
                <w:sz w:val="28"/>
              </w:rPr>
            </w:pPr>
          </w:p>
          <w:p>
            <w:pPr>
              <w:snapToGrid w:val="0"/>
              <w:rPr>
                <w:rFonts w:ascii="仿宋_GB2312" w:hAnsi="Times New Roman" w:eastAsia="仿宋_GB2312"/>
                <w:sz w:val="28"/>
              </w:rPr>
            </w:pPr>
          </w:p>
          <w:p>
            <w:pPr>
              <w:snapToGrid w:val="0"/>
              <w:rPr>
                <w:rFonts w:ascii="仿宋_GB2312" w:hAnsi="Times New Roman" w:eastAsia="仿宋_GB2312"/>
                <w:sz w:val="28"/>
              </w:rPr>
            </w:pPr>
          </w:p>
          <w:p>
            <w:pPr>
              <w:snapToGrid w:val="0"/>
              <w:rPr>
                <w:rFonts w:hint="eastAsia" w:ascii="仿宋_GB2312" w:eastAsia="仿宋_GB2312"/>
                <w:w w:val="90"/>
                <w:sz w:val="28"/>
              </w:rPr>
            </w:pPr>
            <w:r>
              <w:rPr>
                <w:rFonts w:hint="eastAsia" w:ascii="仿宋_GB2312" w:eastAsia="仿宋_GB2312"/>
                <w:w w:val="90"/>
                <w:sz w:val="28"/>
              </w:rPr>
              <w:t>经办人：</w:t>
            </w:r>
            <w:r>
              <w:rPr>
                <w:rFonts w:hint="eastAsia" w:ascii="仿宋_GB2312" w:eastAsia="仿宋_GB2312"/>
                <w:w w:val="90"/>
                <w:sz w:val="28"/>
                <w:lang w:eastAsia="zh-CN"/>
              </w:rPr>
              <w:t>章鹏</w:t>
            </w:r>
          </w:p>
          <w:p>
            <w:pPr>
              <w:snapToGrid w:val="0"/>
              <w:rPr>
                <w:rFonts w:hint="eastAsia" w:ascii="仿宋_GB2312" w:eastAsia="仿宋_GB2312"/>
                <w:w w:val="90"/>
                <w:sz w:val="28"/>
              </w:rPr>
            </w:pPr>
          </w:p>
          <w:p>
            <w:pPr>
              <w:snapToGrid w:val="0"/>
              <w:rPr>
                <w:rFonts w:hint="eastAsia" w:ascii="仿宋_GB2312" w:eastAsia="仿宋_GB2312"/>
                <w:w w:val="90"/>
                <w:sz w:val="28"/>
              </w:rPr>
            </w:pPr>
          </w:p>
          <w:p>
            <w:pPr>
              <w:snapToGrid w:val="0"/>
              <w:rPr>
                <w:rFonts w:hint="eastAsia" w:ascii="仿宋_GB2312" w:hAnsi="Times New Roman" w:eastAsia="仿宋_GB2312"/>
                <w:sz w:val="28"/>
                <w:lang w:val="en-US" w:eastAsia="zh-CN"/>
              </w:rPr>
            </w:pPr>
            <w:r>
              <w:rPr>
                <w:rFonts w:hint="eastAsia" w:ascii="仿宋_GB2312" w:eastAsia="仿宋_GB2312"/>
                <w:w w:val="90"/>
                <w:sz w:val="28"/>
              </w:rPr>
              <w:t>审批人：</w:t>
            </w:r>
            <w:r>
              <w:rPr>
                <w:rFonts w:hint="eastAsia" w:ascii="仿宋_GB2312" w:eastAsia="仿宋_GB2312"/>
                <w:w w:val="90"/>
                <w:sz w:val="28"/>
                <w:lang w:eastAsia="zh-CN"/>
              </w:rPr>
              <w:t>龚卿</w:t>
            </w:r>
            <w:bookmarkStart w:id="0" w:name="_GoBack"/>
            <w:bookmarkEnd w:id="0"/>
            <w:r>
              <w:rPr>
                <w:rFonts w:ascii="仿宋_GB2312" w:hAnsi="Times New Roman" w:eastAsia="仿宋_GB2312"/>
                <w:sz w:val="28"/>
              </w:rPr>
              <w:t xml:space="preserve">                               </w:t>
            </w:r>
            <w:r>
              <w:rPr>
                <w:rFonts w:hint="eastAsia" w:ascii="仿宋_GB2312" w:hAnsi="Times New Roman" w:eastAsia="仿宋_GB2312"/>
                <w:sz w:val="28"/>
                <w:lang w:val="en-US" w:eastAsia="zh-CN"/>
              </w:rPr>
              <w:t xml:space="preserve"> </w:t>
            </w:r>
          </w:p>
          <w:p>
            <w:pPr>
              <w:snapToGrid w:val="0"/>
              <w:rPr>
                <w:rFonts w:hint="eastAsia" w:ascii="仿宋_GB2312" w:hAnsi="Times New Roman" w:eastAsia="仿宋_GB2312"/>
                <w:sz w:val="28"/>
                <w:lang w:val="en-US" w:eastAsia="zh-CN"/>
              </w:rPr>
            </w:pPr>
          </w:p>
          <w:p>
            <w:pPr>
              <w:snapToGrid w:val="0"/>
              <w:rPr>
                <w:rFonts w:hint="eastAsia" w:ascii="仿宋_GB2312" w:hAnsi="Times New Roman" w:eastAsia="仿宋_GB2312"/>
                <w:sz w:val="28"/>
                <w:lang w:val="en-US" w:eastAsia="zh-CN"/>
              </w:rPr>
            </w:pPr>
          </w:p>
          <w:p>
            <w:pPr>
              <w:snapToGrid w:val="0"/>
              <w:rPr>
                <w:rFonts w:hint="eastAsia" w:ascii="仿宋_GB2312" w:hAnsi="Times New Roman" w:eastAsia="仿宋_GB2312"/>
                <w:sz w:val="28"/>
                <w:lang w:val="en-US" w:eastAsia="zh-CN"/>
              </w:rPr>
            </w:pPr>
          </w:p>
          <w:p>
            <w:pPr>
              <w:snapToGrid w:val="0"/>
              <w:ind w:firstLine="5600" w:firstLineChars="2000"/>
              <w:rPr>
                <w:rFonts w:ascii="仿宋_GB2312" w:hAnsi="Times New Roman" w:eastAsia="仿宋_GB2312"/>
                <w:sz w:val="28"/>
              </w:rPr>
            </w:pPr>
            <w:r>
              <w:rPr>
                <w:rFonts w:hint="eastAsia" w:ascii="仿宋_GB2312" w:hAnsi="Times New Roman" w:eastAsia="仿宋_GB2312"/>
                <w:sz w:val="28"/>
                <w:lang w:val="en-US" w:eastAsia="zh-CN"/>
              </w:rPr>
              <w:t xml:space="preserve">      </w:t>
            </w:r>
            <w:r>
              <w:rPr>
                <w:rFonts w:ascii="仿宋_GB2312" w:hAnsi="Times New Roman" w:eastAsia="仿宋_GB2312"/>
                <w:sz w:val="28"/>
              </w:rPr>
              <w:t xml:space="preserve"> </w:t>
            </w:r>
            <w:r>
              <w:rPr>
                <w:rFonts w:hint="eastAsia" w:ascii="仿宋_GB2312" w:eastAsia="仿宋_GB2312"/>
                <w:sz w:val="28"/>
              </w:rPr>
              <w:t>公</w:t>
            </w:r>
            <w:r>
              <w:rPr>
                <w:rFonts w:ascii="仿宋_GB2312" w:hAnsi="Times New Roman" w:eastAsia="仿宋_GB2312"/>
                <w:sz w:val="28"/>
              </w:rPr>
              <w:t xml:space="preserve">     </w:t>
            </w:r>
            <w:r>
              <w:rPr>
                <w:rFonts w:hint="eastAsia" w:ascii="仿宋_GB2312" w:eastAsia="仿宋_GB2312"/>
                <w:sz w:val="28"/>
              </w:rPr>
              <w:t>章</w:t>
            </w:r>
          </w:p>
          <w:p>
            <w:pPr>
              <w:snapToGrid w:val="0"/>
              <w:rPr>
                <w:rFonts w:ascii="仿宋_GB2312" w:eastAsia="仿宋_GB2312"/>
                <w:sz w:val="28"/>
              </w:rPr>
            </w:pPr>
            <w:r>
              <w:rPr>
                <w:rFonts w:ascii="仿宋_GB2312" w:hAnsi="Times New Roman" w:eastAsia="仿宋_GB2312"/>
                <w:sz w:val="28"/>
              </w:rPr>
              <w:t xml:space="preserve">                                            201</w:t>
            </w:r>
            <w:r>
              <w:rPr>
                <w:rFonts w:hint="eastAsia" w:ascii="仿宋_GB2312" w:hAnsi="Times New Roman" w:eastAsia="仿宋_GB2312"/>
                <w:sz w:val="28"/>
                <w:lang w:val="en-US" w:eastAsia="zh-CN"/>
              </w:rPr>
              <w:t>8</w:t>
            </w:r>
            <w:r>
              <w:rPr>
                <w:rFonts w:hint="eastAsia" w:ascii="仿宋_GB2312" w:eastAsia="仿宋_GB2312"/>
                <w:sz w:val="28"/>
              </w:rPr>
              <w:t>年</w:t>
            </w:r>
            <w:r>
              <w:rPr>
                <w:rFonts w:hint="eastAsia" w:ascii="仿宋_GB2312" w:hAnsi="Times New Roman" w:eastAsia="仿宋_GB2312"/>
                <w:sz w:val="28"/>
                <w:lang w:val="en-US" w:eastAsia="zh-CN"/>
              </w:rPr>
              <w:t>2</w:t>
            </w:r>
            <w:r>
              <w:rPr>
                <w:rFonts w:hint="eastAsia" w:ascii="仿宋_GB2312" w:eastAsia="仿宋_GB2312"/>
                <w:sz w:val="28"/>
              </w:rPr>
              <w:t>月</w:t>
            </w:r>
            <w:r>
              <w:rPr>
                <w:rFonts w:hint="eastAsia" w:ascii="仿宋_GB2312" w:hAnsi="Times New Roman" w:eastAsia="仿宋_GB2312"/>
                <w:sz w:val="28"/>
                <w:lang w:val="en-US" w:eastAsia="zh-CN"/>
              </w:rPr>
              <w:t>22</w:t>
            </w:r>
            <w:r>
              <w:rPr>
                <w:rFonts w:hint="eastAsia" w:ascii="仿宋_GB2312" w:eastAsia="仿宋_GB2312"/>
                <w:sz w:val="28"/>
              </w:rPr>
              <w:t>日</w:t>
            </w:r>
          </w:p>
          <w:p>
            <w:pPr>
              <w:snapToGrid w:val="0"/>
              <w:rPr>
                <w:rFonts w:ascii="仿宋_GB2312" w:eastAsia="仿宋_GB2312"/>
                <w:sz w:val="28"/>
              </w:rPr>
            </w:pPr>
          </w:p>
        </w:tc>
      </w:tr>
    </w:tbl>
    <w:p>
      <w:pPr>
        <w:spacing w:line="480" w:lineRule="exact"/>
        <w:rPr>
          <w:rFonts w:eastAsia="仿宋_GB231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Unicode"/>
    <w:panose1 w:val="020F0502020204030204"/>
    <w:charset w:val="00"/>
    <w:family w:val="swiss"/>
    <w:pitch w:val="default"/>
    <w:sig w:usb0="00000000" w:usb1="00000000" w:usb2="00000001" w:usb3="00000000" w:csb0="0000019F" w:csb1="00000000"/>
  </w:font>
  <w:font w:name="Lucida Sans Unicode">
    <w:panose1 w:val="020B0602030504020204"/>
    <w:charset w:val="00"/>
    <w:family w:val="auto"/>
    <w:pitch w:val="default"/>
    <w:sig w:usb0="80001AFF" w:usb1="0000396B" w:usb2="00000000" w:usb3="00000000" w:csb0="0000003F" w:csb1="D7F70000"/>
  </w:font>
  <w:font w:name="仿宋_GB2312">
    <w:panose1 w:val="02010609030101010101"/>
    <w:charset w:val="86"/>
    <w:family w:val="modern"/>
    <w:pitch w:val="default"/>
    <w:sig w:usb0="00000001" w:usb1="080E0000" w:usb2="00000000" w:usb3="00000000" w:csb0="00040000" w:csb1="00000000"/>
  </w:font>
  <w:font w:name="仿宋">
    <w:altName w:val="宋体"/>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6C6A"/>
    <w:rsid w:val="0012026D"/>
    <w:rsid w:val="002A2489"/>
    <w:rsid w:val="005A017E"/>
    <w:rsid w:val="00610954"/>
    <w:rsid w:val="00A06C6A"/>
    <w:rsid w:val="00A80E69"/>
    <w:rsid w:val="00E43BA5"/>
    <w:rsid w:val="00EE55F9"/>
    <w:rsid w:val="00F5106F"/>
    <w:rsid w:val="09B61525"/>
    <w:rsid w:val="09BA7346"/>
    <w:rsid w:val="0F785FFA"/>
    <w:rsid w:val="1A9501CB"/>
    <w:rsid w:val="1AFB290C"/>
    <w:rsid w:val="1E265FEE"/>
    <w:rsid w:val="20715C02"/>
    <w:rsid w:val="20884185"/>
    <w:rsid w:val="223E6D13"/>
    <w:rsid w:val="224B3D9F"/>
    <w:rsid w:val="34706CF6"/>
    <w:rsid w:val="35196134"/>
    <w:rsid w:val="3A7B06D5"/>
    <w:rsid w:val="3E1210F4"/>
    <w:rsid w:val="41FD68FE"/>
    <w:rsid w:val="443C5C42"/>
    <w:rsid w:val="449E76AC"/>
    <w:rsid w:val="45BB05A9"/>
    <w:rsid w:val="45C85957"/>
    <w:rsid w:val="462D6297"/>
    <w:rsid w:val="49167A9E"/>
    <w:rsid w:val="4E9C292F"/>
    <w:rsid w:val="4F8C03E6"/>
    <w:rsid w:val="50A91980"/>
    <w:rsid w:val="56FD4676"/>
    <w:rsid w:val="583017FF"/>
    <w:rsid w:val="5CD10D99"/>
    <w:rsid w:val="5E7006D7"/>
    <w:rsid w:val="5EE308E7"/>
    <w:rsid w:val="61980384"/>
    <w:rsid w:val="70A37142"/>
    <w:rsid w:val="71007ECC"/>
    <w:rsid w:val="71BE0149"/>
    <w:rsid w:val="72CE2CDC"/>
    <w:rsid w:val="76C560FE"/>
    <w:rsid w:val="7B455CA6"/>
    <w:rsid w:val="7CE31B5D"/>
    <w:rsid w:val="7DEC61BF"/>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2"/>
    <w:basedOn w:val="1"/>
    <w:next w:val="1"/>
    <w:semiHidden/>
    <w:unhideWhenUsed/>
    <w:qFormat/>
    <w:locked/>
    <w:uiPriority w:val="0"/>
    <w:pPr>
      <w:keepNext/>
      <w:keepLines/>
      <w:spacing w:before="260" w:beforeLines="0" w:after="260" w:afterLines="0" w:line="416" w:lineRule="auto"/>
      <w:outlineLvl w:val="1"/>
    </w:pPr>
    <w:rPr>
      <w:rFonts w:ascii="Arial" w:hAnsi="Arial" w:eastAsia="黑体"/>
      <w:b/>
      <w:bCs/>
      <w:sz w:val="32"/>
      <w:szCs w:val="32"/>
    </w:rPr>
  </w:style>
  <w:style w:type="paragraph" w:styleId="2">
    <w:name w:val="heading 3"/>
    <w:basedOn w:val="3"/>
    <w:next w:val="1"/>
    <w:semiHidden/>
    <w:unhideWhenUsed/>
    <w:qFormat/>
    <w:locked/>
    <w:uiPriority w:val="0"/>
    <w:pPr>
      <w:keepNext/>
      <w:keepLines/>
      <w:spacing w:before="260" w:beforeLines="0" w:after="260" w:afterLines="0" w:line="416" w:lineRule="auto"/>
      <w:outlineLvl w:val="2"/>
    </w:pPr>
    <w:rPr>
      <w:b w:val="0"/>
      <w:bCs w:val="0"/>
      <w:sz w:val="32"/>
      <w:szCs w:val="32"/>
    </w:rPr>
  </w:style>
  <w:style w:type="character" w:default="1" w:styleId="5">
    <w:name w:val="Default Paragraph Font"/>
    <w:semiHidden/>
    <w:qFormat/>
    <w:uiPriority w:val="99"/>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4">
    <w:name w:val="Normal (Web)"/>
    <w:basedOn w:val="1"/>
    <w:qFormat/>
    <w:uiPriority w:val="99"/>
    <w:pPr>
      <w:spacing w:before="100" w:beforeAutospacing="1" w:after="100" w:afterAutospacing="1"/>
      <w:jc w:val="left"/>
    </w:pPr>
    <w:rPr>
      <w:kern w:val="0"/>
      <w:sz w:val="24"/>
    </w:rPr>
  </w:style>
  <w:style w:type="paragraph" w:customStyle="1" w:styleId="7">
    <w:name w:val="WPS Plain"/>
    <w:qFormat/>
    <w:uiPriority w:val="99"/>
    <w:rPr>
      <w:rFonts w:ascii="Calibri" w:hAnsi="Calibri" w:eastAsia="宋体" w:cs="Times New Roman"/>
      <w:kern w:val="0"/>
      <w:sz w:val="21"/>
      <w:szCs w:val="22"/>
      <w:lang w:val="en-US" w:eastAsia="zh-CN" w:bidi="ar-SA"/>
    </w:rPr>
  </w:style>
  <w:style w:type="paragraph" w:customStyle="1" w:styleId="8">
    <w:name w:val="0"/>
    <w:basedOn w:val="1"/>
    <w:qFormat/>
    <w:uiPriority w:val="99"/>
    <w:pPr>
      <w:widowControl/>
      <w:snapToGrid w:val="0"/>
      <w:spacing w:line="365" w:lineRule="atLeast"/>
      <w:ind w:left="1"/>
      <w:textAlignment w:val="bottom"/>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2</Pages>
  <Words>235</Words>
  <Characters>1345</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hp</dc:creator>
  <cp:lastModifiedBy>Administrator</cp:lastModifiedBy>
  <cp:lastPrinted>2018-03-12T04:53:19Z</cp:lastPrinted>
  <dcterms:modified xsi:type="dcterms:W3CDTF">2018-03-12T10:06:41Z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