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
      <w:tblGrid>
        <w:gridCol w:w="9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Ex>
        <w:trPr>
          <w:trHeight w:val="12477" w:hRule="atLeast"/>
        </w:trPr>
        <w:tc>
          <w:tcPr>
            <w:tcW w:w="9360" w:type="dxa"/>
          </w:tcPr>
          <w:p>
            <w:pPr>
              <w:widowControl/>
              <w:spacing w:line="520" w:lineRule="exact"/>
              <w:rPr>
                <w:rFonts w:ascii="Times New Roman" w:hAnsi="Times New Roman" w:eastAsia="仿宋_GB2312" w:cs="仿宋"/>
                <w:color w:val="FF0000"/>
                <w:sz w:val="28"/>
                <w:szCs w:val="28"/>
              </w:rPr>
            </w:pPr>
            <w:r>
              <w:rPr>
                <w:rFonts w:ascii="Times New Roman" w:hAnsi="Times New Roman" w:eastAsia="仿宋_GB2312" w:cs="仿宋"/>
                <w:b/>
                <w:bCs/>
                <w:sz w:val="28"/>
                <w:szCs w:val="28"/>
              </w:rPr>
              <w:t xml:space="preserve"> </w:t>
            </w:r>
            <w:r>
              <w:rPr>
                <w:rFonts w:hint="eastAsia" w:ascii="Times New Roman" w:hAnsi="Times New Roman" w:eastAsia="仿宋_GB2312" w:cs="仿宋"/>
                <w:b/>
                <w:bCs/>
                <w:sz w:val="30"/>
                <w:szCs w:val="28"/>
              </w:rPr>
              <w:t>审批意见：</w:t>
            </w:r>
            <w:r>
              <w:rPr>
                <w:rFonts w:ascii="Times New Roman" w:hAnsi="Times New Roman" w:eastAsia="仿宋_GB2312" w:cs="仿宋"/>
                <w:sz w:val="30"/>
                <w:szCs w:val="28"/>
              </w:rPr>
              <w:t xml:space="preserve"> </w:t>
            </w:r>
            <w:r>
              <w:rPr>
                <w:rFonts w:ascii="Times New Roman" w:hAnsi="Times New Roman" w:eastAsia="仿宋_GB2312" w:cs="仿宋"/>
                <w:sz w:val="28"/>
                <w:szCs w:val="28"/>
              </w:rPr>
              <w:t xml:space="preserve">                          </w:t>
            </w:r>
            <w:r>
              <w:rPr>
                <w:rFonts w:hint="eastAsia" w:ascii="Times New Roman" w:hAnsi="仿宋" w:eastAsia="仿宋_GB2312" w:cs="仿宋"/>
                <w:b/>
                <w:sz w:val="28"/>
                <w:szCs w:val="28"/>
              </w:rPr>
              <w:t>岳环君分环评</w:t>
            </w:r>
            <w:r>
              <w:rPr>
                <w:rFonts w:hint="eastAsia" w:ascii="Times New Roman" w:hAnsi="仿宋" w:eastAsia="仿宋_GB2312" w:cs="仿宋"/>
                <w:b/>
                <w:sz w:val="28"/>
                <w:szCs w:val="28"/>
                <w:lang w:eastAsia="zh-CN"/>
              </w:rPr>
              <w:t>批</w:t>
            </w:r>
            <w:r>
              <w:rPr>
                <w:rFonts w:hint="eastAsia" w:ascii="Times New Roman" w:hAnsi="仿宋" w:eastAsia="仿宋_GB2312" w:cs="仿宋"/>
                <w:b/>
                <w:sz w:val="28"/>
                <w:szCs w:val="28"/>
              </w:rPr>
              <w:t>［</w:t>
            </w:r>
            <w:r>
              <w:rPr>
                <w:rFonts w:ascii="Times New Roman" w:hAnsi="Times New Roman" w:eastAsia="仿宋_GB2312" w:cs="仿宋"/>
                <w:b/>
                <w:sz w:val="28"/>
                <w:szCs w:val="28"/>
              </w:rPr>
              <w:t>201</w:t>
            </w:r>
            <w:r>
              <w:rPr>
                <w:rFonts w:hint="eastAsia" w:ascii="Times New Roman" w:hAnsi="Times New Roman" w:eastAsia="仿宋_GB2312" w:cs="仿宋"/>
                <w:b/>
                <w:sz w:val="28"/>
                <w:szCs w:val="28"/>
                <w:lang w:val="en-US" w:eastAsia="zh-CN"/>
              </w:rPr>
              <w:t>8</w:t>
            </w:r>
            <w:r>
              <w:rPr>
                <w:rFonts w:hint="eastAsia" w:ascii="Times New Roman" w:hAnsi="仿宋" w:eastAsia="仿宋_GB2312" w:cs="仿宋"/>
                <w:b/>
                <w:sz w:val="28"/>
                <w:szCs w:val="28"/>
              </w:rPr>
              <w:t>］</w:t>
            </w:r>
            <w:r>
              <w:rPr>
                <w:rFonts w:hint="eastAsia" w:ascii="Times New Roman" w:hAnsi="仿宋" w:eastAsia="仿宋_GB2312" w:cs="仿宋"/>
                <w:b/>
                <w:sz w:val="28"/>
                <w:szCs w:val="28"/>
                <w:lang w:val="en-US" w:eastAsia="zh-CN"/>
              </w:rPr>
              <w:t>11</w:t>
            </w:r>
            <w:r>
              <w:rPr>
                <w:rFonts w:hint="eastAsia" w:ascii="Times New Roman" w:hAnsi="仿宋" w:eastAsia="仿宋_GB2312" w:cs="仿宋"/>
                <w:b/>
                <w:sz w:val="28"/>
                <w:szCs w:val="28"/>
              </w:rPr>
              <w:t>号</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rPr>
              <w:t>岳阳市君山区城市建设投资有限公司拟在岳阳市君山区芦苇场棚改小区外进行君山区2016年保障性安居工程配套基础设施芦苇场棚改小区外桥头道路拓宽硬化工程，总投资1043.6万元，水泥混凝土路面，设计车速40km/h。建设规模：桥头道路长900m，本道路工程规划断面为：25m（红线）-14m（机动车道），总用地面积22500m</w:t>
            </w:r>
            <w:r>
              <w:rPr>
                <w:rFonts w:hint="eastAsia" w:ascii="仿宋_GB2312" w:hAnsi="仿宋_GB2312" w:eastAsia="仿宋_GB2312" w:cs="仿宋_GB2312"/>
                <w:sz w:val="28"/>
                <w:vertAlign w:val="superscript"/>
              </w:rPr>
              <w:t>2</w:t>
            </w:r>
            <w:r>
              <w:rPr>
                <w:rFonts w:hint="eastAsia" w:ascii="仿宋_GB2312" w:hAnsi="仿宋_GB2312" w:eastAsia="仿宋_GB2312" w:cs="仿宋_GB2312"/>
                <w:sz w:val="28"/>
              </w:rPr>
              <w:t>，电缆线900m，供水管道900m，排污管道900m。工程建设内容：包括道路工程、排水工程、照明工程、绿化工程和其他公用设施等。根据广西新北环环保科技有限公司编制的环境影响报告表基本内容、结论和专家审查意见，从环境保护角度考虑，同意本项目的建设。</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rPr>
              <w:t>一、建设单位须逐项落实环评报告表提出的各项环保措施，严格执行环保“三同时”制度，配套建设污染防治设施，加强环境管理，确保外排污染物长期稳定达标排放。在工程设计、建设和管理中，应着重注意以下问题：</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1、废水污染防治。施工废水经沉淀、隔油处理后全部回用，不外排。</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2、大气污染防治。项目不设施工营地和混凝土搅拌站，不设置临时施工生产区，所用混凝土均外购并经专用车辆运至铺路现场施工使用；严禁大风大雨等恶劣天气施工，配备洒水设备并定期洒水抑尘；合理安排物料运输路线，土方、砂石等散装物料运输车辆加盖或加蓬，防止物料洒落；施工区域和物料堆场设置1.8m以上围挡，严禁物料露天堆放。加强对施工地周边环境敏感点的施工管理，减少粉尘等对周边环境敏感点的影响。</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3、噪声污染防治。科学制定施工计划和运输方案，合理选取车辆运输时间、路线，采用低噪声设备、先进施工工艺和合适的施工方式，加强运输车辆、施工机械和设备管理及维护。禁止禁止夜间（22：00～次日6：00）施工，减少噪声扰民，施工噪声满足《建筑施工场界环境噪声排放标准》（GB12523-2011）相关要求。落实运营期噪声防治要求，对沿线敏感点设置禁鸣、限速等标牌。</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4、固体废物污染防治。统筹安排工程中的填挖方、弃渣，做到土石方平衡，避免大填大挖。做好路基周边的护坡、排水、绿化及平整工作；本项目不设取弃土场，土石方即挖即运。</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5、生态专题。</w:t>
            </w:r>
            <w:r>
              <w:rPr>
                <w:rFonts w:hint="eastAsia" w:ascii="仿宋_GB2312" w:hAnsi="仿宋_GB2312" w:eastAsia="仿宋_GB2312" w:cs="仿宋_GB2312"/>
                <w:sz w:val="28"/>
              </w:rPr>
              <w:t>该项目生态影响专题报告通过了专家评审，已在我局进行了备案登记。要求加强项目区域绿化，完善施工植被修复，选用乡土绿化树种，防止外来物种入侵，确保本地区生态安全。</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rPr>
              <w:t>二、你单位应在收到本批复后</w:t>
            </w:r>
            <w:r>
              <w:rPr>
                <w:rFonts w:ascii="仿宋_GB2312" w:hAnsi="仿宋_GB2312" w:eastAsia="仿宋_GB2312" w:cs="仿宋_GB2312"/>
                <w:sz w:val="28"/>
              </w:rPr>
              <w:t>15</w:t>
            </w:r>
            <w:r>
              <w:rPr>
                <w:rFonts w:hint="eastAsia" w:ascii="仿宋_GB2312" w:hAnsi="仿宋_GB2312" w:eastAsia="仿宋_GB2312" w:cs="仿宋_GB2312"/>
                <w:sz w:val="28"/>
              </w:rPr>
              <w:t>个工作日内，将批复及</w:t>
            </w:r>
            <w:r>
              <w:rPr>
                <w:rFonts w:hint="eastAsia" w:ascii="仿宋_GB2312" w:hAnsi="仿宋_GB2312" w:eastAsia="仿宋_GB2312" w:cs="仿宋_GB2312"/>
                <w:sz w:val="28"/>
                <w:lang w:eastAsia="zh-CN"/>
              </w:rPr>
              <w:t>被</w:t>
            </w:r>
            <w:r>
              <w:rPr>
                <w:rFonts w:hint="eastAsia" w:ascii="仿宋_GB2312" w:hAnsi="仿宋_GB2312" w:eastAsia="仿宋_GB2312" w:cs="仿宋_GB2312"/>
                <w:sz w:val="28"/>
              </w:rPr>
              <w:t>批准的环评报告文本送至岳阳市环境保护局</w:t>
            </w:r>
            <w:r>
              <w:rPr>
                <w:rFonts w:hint="eastAsia" w:ascii="仿宋_GB2312" w:hAnsi="仿宋_GB2312" w:eastAsia="仿宋_GB2312" w:cs="仿宋_GB2312"/>
                <w:sz w:val="28"/>
                <w:lang w:eastAsia="zh-CN"/>
              </w:rPr>
              <w:t>君山</w:t>
            </w:r>
            <w:r>
              <w:rPr>
                <w:rFonts w:hint="eastAsia" w:ascii="仿宋_GB2312" w:hAnsi="仿宋_GB2312" w:eastAsia="仿宋_GB2312" w:cs="仿宋_GB2312"/>
                <w:sz w:val="28"/>
              </w:rPr>
              <w:t>区分局</w:t>
            </w:r>
            <w:r>
              <w:rPr>
                <w:rFonts w:hint="eastAsia" w:ascii="仿宋_GB2312" w:hAnsi="仿宋_GB2312" w:eastAsia="仿宋_GB2312" w:cs="仿宋_GB2312"/>
                <w:sz w:val="28"/>
                <w:lang w:eastAsia="zh-CN"/>
              </w:rPr>
              <w:t>监察大队</w:t>
            </w:r>
            <w:r>
              <w:rPr>
                <w:rFonts w:hint="eastAsia" w:ascii="仿宋_GB2312" w:hAnsi="仿宋_GB2312" w:eastAsia="仿宋_GB2312" w:cs="仿宋_GB2312"/>
                <w:sz w:val="28"/>
              </w:rPr>
              <w:t>、广西新北环环保科技有限公司。</w:t>
            </w:r>
            <w:r>
              <w:rPr>
                <w:rFonts w:ascii="仿宋_GB2312" w:hAnsi="仿宋_GB2312" w:eastAsia="仿宋_GB2312" w:cs="仿宋_GB2312"/>
                <w:sz w:val="28"/>
              </w:rPr>
              <w:t xml:space="preserve"> </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三、岳阳市环境保护局</w:t>
            </w:r>
            <w:r>
              <w:rPr>
                <w:rFonts w:hint="eastAsia" w:ascii="仿宋_GB2312" w:hAnsi="仿宋_GB2312" w:eastAsia="仿宋_GB2312" w:cs="仿宋_GB2312"/>
                <w:sz w:val="28"/>
                <w:lang w:eastAsia="zh-CN"/>
              </w:rPr>
              <w:t>君山</w:t>
            </w:r>
            <w:r>
              <w:rPr>
                <w:rFonts w:hint="eastAsia" w:ascii="仿宋_GB2312" w:hAnsi="仿宋_GB2312" w:eastAsia="仿宋_GB2312" w:cs="仿宋_GB2312"/>
                <w:sz w:val="28"/>
              </w:rPr>
              <w:t>区分局</w:t>
            </w:r>
            <w:r>
              <w:rPr>
                <w:rFonts w:hint="eastAsia" w:ascii="仿宋_GB2312" w:hAnsi="仿宋_GB2312" w:eastAsia="仿宋_GB2312" w:cs="仿宋_GB2312"/>
                <w:sz w:val="28"/>
                <w:lang w:eastAsia="zh-CN"/>
              </w:rPr>
              <w:t>环境监察大队</w:t>
            </w:r>
            <w:r>
              <w:rPr>
                <w:rFonts w:hint="eastAsia" w:ascii="仿宋_GB2312" w:hAnsi="仿宋_GB2312" w:eastAsia="仿宋_GB2312" w:cs="仿宋_GB2312"/>
                <w:sz w:val="28"/>
              </w:rPr>
              <w:t>负责项目建设期和营运期的日常环境监管。</w:t>
            </w: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hint="eastAsia" w:ascii="仿宋_GB2312" w:eastAsia="仿宋_GB2312"/>
                <w:w w:val="90"/>
                <w:sz w:val="28"/>
              </w:rPr>
            </w:pPr>
            <w:r>
              <w:rPr>
                <w:rFonts w:hint="eastAsia" w:ascii="仿宋_GB2312" w:eastAsia="仿宋_GB2312"/>
                <w:w w:val="90"/>
                <w:sz w:val="28"/>
              </w:rPr>
              <w:t>经办人：</w:t>
            </w:r>
            <w:r>
              <w:rPr>
                <w:rFonts w:hint="eastAsia" w:ascii="仿宋_GB2312" w:eastAsia="仿宋_GB2312"/>
                <w:w w:val="90"/>
                <w:sz w:val="28"/>
                <w:lang w:eastAsia="zh-CN"/>
              </w:rPr>
              <w:t>章鹏</w:t>
            </w:r>
          </w:p>
          <w:p>
            <w:pPr>
              <w:snapToGrid w:val="0"/>
              <w:rPr>
                <w:rFonts w:hint="eastAsia" w:ascii="仿宋_GB2312" w:eastAsia="仿宋_GB2312"/>
                <w:w w:val="90"/>
                <w:sz w:val="28"/>
              </w:rPr>
            </w:pPr>
          </w:p>
          <w:p>
            <w:pPr>
              <w:snapToGrid w:val="0"/>
              <w:rPr>
                <w:rFonts w:hint="eastAsia" w:ascii="仿宋_GB2312" w:eastAsia="仿宋_GB2312"/>
                <w:w w:val="90"/>
                <w:sz w:val="28"/>
              </w:rPr>
            </w:pPr>
          </w:p>
          <w:p>
            <w:pPr>
              <w:snapToGrid w:val="0"/>
              <w:rPr>
                <w:rFonts w:hint="eastAsia" w:ascii="仿宋_GB2312" w:hAnsi="Times New Roman" w:eastAsia="仿宋_GB2312"/>
                <w:sz w:val="28"/>
                <w:lang w:val="en-US" w:eastAsia="zh-CN"/>
              </w:rPr>
            </w:pPr>
            <w:r>
              <w:rPr>
                <w:rFonts w:hint="eastAsia" w:ascii="仿宋_GB2312" w:eastAsia="仿宋_GB2312"/>
                <w:w w:val="90"/>
                <w:sz w:val="28"/>
              </w:rPr>
              <w:t>审批人：</w:t>
            </w:r>
            <w:r>
              <w:rPr>
                <w:rFonts w:hint="eastAsia" w:ascii="仿宋_GB2312" w:eastAsia="仿宋_GB2312"/>
                <w:w w:val="90"/>
                <w:sz w:val="28"/>
                <w:lang w:eastAsia="zh-CN"/>
              </w:rPr>
              <w:t>龚卿</w:t>
            </w:r>
            <w:bookmarkStart w:id="0" w:name="_GoBack"/>
            <w:bookmarkEnd w:id="0"/>
            <w:r>
              <w:rPr>
                <w:rFonts w:ascii="仿宋_GB2312" w:hAnsi="Times New Roman" w:eastAsia="仿宋_GB2312"/>
                <w:sz w:val="28"/>
              </w:rPr>
              <w:t xml:space="preserve">                                </w:t>
            </w:r>
            <w:r>
              <w:rPr>
                <w:rFonts w:hint="eastAsia" w:ascii="仿宋_GB2312" w:hAnsi="Times New Roman" w:eastAsia="仿宋_GB2312"/>
                <w:sz w:val="28"/>
                <w:lang w:val="en-US" w:eastAsia="zh-CN"/>
              </w:rPr>
              <w:t xml:space="preserve"> </w:t>
            </w:r>
          </w:p>
          <w:p>
            <w:pPr>
              <w:snapToGrid w:val="0"/>
              <w:rPr>
                <w:rFonts w:hint="eastAsia" w:ascii="仿宋_GB2312" w:hAnsi="Times New Roman" w:eastAsia="仿宋_GB2312"/>
                <w:sz w:val="28"/>
                <w:lang w:val="en-US" w:eastAsia="zh-CN"/>
              </w:rPr>
            </w:pPr>
          </w:p>
          <w:p>
            <w:pPr>
              <w:snapToGrid w:val="0"/>
              <w:ind w:firstLine="5600" w:firstLineChars="2000"/>
              <w:rPr>
                <w:rFonts w:ascii="仿宋_GB2312" w:hAnsi="Times New Roman" w:eastAsia="仿宋_GB2312"/>
                <w:sz w:val="28"/>
              </w:rPr>
            </w:pPr>
            <w:r>
              <w:rPr>
                <w:rFonts w:hint="eastAsia" w:ascii="仿宋_GB2312" w:hAnsi="Times New Roman" w:eastAsia="仿宋_GB2312"/>
                <w:sz w:val="28"/>
                <w:lang w:val="en-US" w:eastAsia="zh-CN"/>
              </w:rPr>
              <w:t xml:space="preserve">      </w:t>
            </w:r>
            <w:r>
              <w:rPr>
                <w:rFonts w:ascii="仿宋_GB2312" w:hAnsi="Times New Roman" w:eastAsia="仿宋_GB2312"/>
                <w:sz w:val="28"/>
              </w:rPr>
              <w:t xml:space="preserve"> </w:t>
            </w:r>
            <w:r>
              <w:rPr>
                <w:rFonts w:hint="eastAsia" w:ascii="仿宋_GB2312" w:eastAsia="仿宋_GB2312"/>
                <w:sz w:val="28"/>
              </w:rPr>
              <w:t>公</w:t>
            </w:r>
            <w:r>
              <w:rPr>
                <w:rFonts w:ascii="仿宋_GB2312" w:hAnsi="Times New Roman" w:eastAsia="仿宋_GB2312"/>
                <w:sz w:val="28"/>
              </w:rPr>
              <w:t xml:space="preserve">     </w:t>
            </w:r>
            <w:r>
              <w:rPr>
                <w:rFonts w:hint="eastAsia" w:ascii="仿宋_GB2312" w:eastAsia="仿宋_GB2312"/>
                <w:sz w:val="28"/>
              </w:rPr>
              <w:t>章</w:t>
            </w:r>
          </w:p>
          <w:p>
            <w:pPr>
              <w:snapToGrid w:val="0"/>
              <w:rPr>
                <w:rFonts w:ascii="仿宋_GB2312" w:eastAsia="仿宋_GB2312"/>
                <w:sz w:val="28"/>
              </w:rPr>
            </w:pPr>
            <w:r>
              <w:rPr>
                <w:rFonts w:ascii="仿宋_GB2312" w:hAnsi="Times New Roman" w:eastAsia="仿宋_GB2312"/>
                <w:sz w:val="28"/>
              </w:rPr>
              <w:t xml:space="preserve">                                            </w:t>
            </w:r>
            <w:r>
              <w:rPr>
                <w:rFonts w:hint="eastAsia" w:ascii="仿宋_GB2312" w:hAnsi="Times New Roman" w:eastAsia="仿宋_GB2312"/>
                <w:sz w:val="28"/>
                <w:lang w:val="en-US" w:eastAsia="zh-CN"/>
              </w:rPr>
              <w:t>2018</w:t>
            </w:r>
            <w:r>
              <w:rPr>
                <w:rFonts w:hint="eastAsia" w:ascii="仿宋_GB2312" w:eastAsia="仿宋_GB2312"/>
                <w:sz w:val="28"/>
              </w:rPr>
              <w:t>年</w:t>
            </w:r>
            <w:r>
              <w:rPr>
                <w:rFonts w:hint="eastAsia" w:ascii="仿宋_GB2312" w:hAnsi="Times New Roman" w:eastAsia="仿宋_GB2312"/>
                <w:sz w:val="28"/>
                <w:lang w:val="en-US" w:eastAsia="zh-CN"/>
              </w:rPr>
              <w:t>2</w:t>
            </w:r>
            <w:r>
              <w:rPr>
                <w:rFonts w:hint="eastAsia" w:ascii="仿宋_GB2312" w:eastAsia="仿宋_GB2312"/>
                <w:sz w:val="28"/>
              </w:rPr>
              <w:t>月</w:t>
            </w:r>
            <w:r>
              <w:rPr>
                <w:rFonts w:hint="eastAsia" w:ascii="仿宋_GB2312" w:hAnsi="Times New Roman" w:eastAsia="仿宋_GB2312"/>
                <w:sz w:val="28"/>
                <w:lang w:val="en-US" w:eastAsia="zh-CN"/>
              </w:rPr>
              <w:t>22</w:t>
            </w:r>
            <w:r>
              <w:rPr>
                <w:rFonts w:hint="eastAsia" w:ascii="仿宋_GB2312" w:eastAsia="仿宋_GB2312"/>
                <w:sz w:val="28"/>
              </w:rPr>
              <w:t>日</w:t>
            </w:r>
          </w:p>
          <w:p>
            <w:pPr>
              <w:snapToGrid w:val="0"/>
              <w:rPr>
                <w:rFonts w:ascii="仿宋_GB2312" w:eastAsia="仿宋_GB2312"/>
                <w:sz w:val="28"/>
              </w:rPr>
            </w:pPr>
          </w:p>
        </w:tc>
      </w:tr>
    </w:tbl>
    <w:p>
      <w:pPr>
        <w:spacing w:line="480" w:lineRule="exact"/>
        <w:rPr>
          <w:rFonts w:eastAsia="仿宋_GB231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 w:name="仿宋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roman"/>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6C6A"/>
    <w:rsid w:val="0012026D"/>
    <w:rsid w:val="002A2489"/>
    <w:rsid w:val="005A017E"/>
    <w:rsid w:val="00610954"/>
    <w:rsid w:val="00A06C6A"/>
    <w:rsid w:val="00A80E69"/>
    <w:rsid w:val="00EE55F9"/>
    <w:rsid w:val="00F5106F"/>
    <w:rsid w:val="06CD030B"/>
    <w:rsid w:val="09B61525"/>
    <w:rsid w:val="09BA7346"/>
    <w:rsid w:val="0F785FFA"/>
    <w:rsid w:val="10C80F9C"/>
    <w:rsid w:val="1A9501CB"/>
    <w:rsid w:val="1AFB290C"/>
    <w:rsid w:val="1E265FEE"/>
    <w:rsid w:val="20715C02"/>
    <w:rsid w:val="20884185"/>
    <w:rsid w:val="223E6D13"/>
    <w:rsid w:val="224B3D9F"/>
    <w:rsid w:val="390718E1"/>
    <w:rsid w:val="3A475735"/>
    <w:rsid w:val="3A7B06D5"/>
    <w:rsid w:val="3E1210F4"/>
    <w:rsid w:val="41FD68FE"/>
    <w:rsid w:val="44504385"/>
    <w:rsid w:val="45BB05A9"/>
    <w:rsid w:val="462D6297"/>
    <w:rsid w:val="4F8C03E6"/>
    <w:rsid w:val="50A91980"/>
    <w:rsid w:val="516C13F1"/>
    <w:rsid w:val="583017FF"/>
    <w:rsid w:val="588A7E25"/>
    <w:rsid w:val="5C14264A"/>
    <w:rsid w:val="5EE308E7"/>
    <w:rsid w:val="61980384"/>
    <w:rsid w:val="6F4018E2"/>
    <w:rsid w:val="70A37142"/>
    <w:rsid w:val="71007ECC"/>
    <w:rsid w:val="76C560FE"/>
    <w:rsid w:val="7CE31B5D"/>
    <w:rsid w:val="7DEC61B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semiHidden="0" w:name="heading 2" w:locked="1"/>
    <w:lsdException w:qFormat="1"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unhideWhenUsed/>
    <w:qFormat/>
    <w:locked/>
    <w:uiPriority w:val="0"/>
    <w:pPr>
      <w:keepNext/>
      <w:keepLines/>
      <w:spacing w:before="260" w:beforeLines="0" w:after="260" w:afterLines="0" w:line="416" w:lineRule="auto"/>
      <w:outlineLvl w:val="1"/>
    </w:pPr>
    <w:rPr>
      <w:rFonts w:ascii="Arial" w:hAnsi="Arial" w:eastAsia="黑体"/>
      <w:b/>
      <w:bCs/>
      <w:sz w:val="32"/>
      <w:szCs w:val="32"/>
    </w:rPr>
  </w:style>
  <w:style w:type="paragraph" w:styleId="2">
    <w:name w:val="heading 3"/>
    <w:basedOn w:val="3"/>
    <w:next w:val="1"/>
    <w:unhideWhenUsed/>
    <w:qFormat/>
    <w:locked/>
    <w:uiPriority w:val="0"/>
    <w:pPr>
      <w:keepNext/>
      <w:keepLines/>
      <w:spacing w:before="260" w:beforeLines="0" w:after="260" w:afterLines="0" w:line="416" w:lineRule="auto"/>
      <w:outlineLvl w:val="2"/>
    </w:pPr>
    <w:rPr>
      <w:b w:val="0"/>
      <w:bCs w:val="0"/>
      <w:sz w:val="32"/>
      <w:szCs w:val="32"/>
    </w:rPr>
  </w:style>
  <w:style w:type="character" w:default="1" w:styleId="5">
    <w:name w:val="Default Paragraph Font"/>
    <w:semiHidden/>
    <w:qFormat/>
    <w:uiPriority w:val="99"/>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4">
    <w:name w:val="Normal (Web)"/>
    <w:basedOn w:val="1"/>
    <w:qFormat/>
    <w:uiPriority w:val="99"/>
    <w:pPr>
      <w:spacing w:before="100" w:beforeAutospacing="1" w:after="100" w:afterAutospacing="1"/>
      <w:jc w:val="left"/>
    </w:pPr>
    <w:rPr>
      <w:kern w:val="0"/>
      <w:sz w:val="24"/>
    </w:rPr>
  </w:style>
  <w:style w:type="paragraph" w:customStyle="1" w:styleId="7">
    <w:name w:val="WPS Plain"/>
    <w:qFormat/>
    <w:uiPriority w:val="99"/>
    <w:rPr>
      <w:rFonts w:ascii="Calibri" w:hAnsi="Calibri" w:eastAsia="宋体" w:cs="Times New Roman"/>
      <w:kern w:val="0"/>
      <w:sz w:val="21"/>
      <w:szCs w:val="22"/>
      <w:lang w:val="en-US" w:eastAsia="zh-CN" w:bidi="ar-SA"/>
    </w:rPr>
  </w:style>
  <w:style w:type="paragraph" w:customStyle="1" w:styleId="8">
    <w:name w:val="0"/>
    <w:basedOn w:val="1"/>
    <w:qFormat/>
    <w:uiPriority w:val="99"/>
    <w:pPr>
      <w:widowControl/>
      <w:snapToGrid w:val="0"/>
      <w:spacing w:line="365" w:lineRule="atLeast"/>
      <w:ind w:left="1"/>
      <w:textAlignment w:val="bottom"/>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Pages>
  <Words>235</Words>
  <Characters>1345</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hp</dc:creator>
  <cp:lastModifiedBy>Administrator</cp:lastModifiedBy>
  <cp:lastPrinted>2018-03-12T04:50:21Z</cp:lastPrinted>
  <dcterms:modified xsi:type="dcterms:W3CDTF">2018-03-12T04:50:25Z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