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jc w:val="center"/>
        <w:rPr>
          <w:b/>
          <w:bCs/>
          <w:sz w:val="36"/>
          <w:szCs w:val="24"/>
        </w:rPr>
      </w:pPr>
      <w:r>
        <w:rPr>
          <w:b/>
          <w:bCs/>
          <w:sz w:val="36"/>
          <w:szCs w:val="24"/>
        </w:rPr>
        <w:t>《建设项目环境影响报告表》编制说明</w:t>
      </w:r>
    </w:p>
    <w:p>
      <w:pPr>
        <w:spacing w:line="360" w:lineRule="auto"/>
        <w:ind w:right="-29" w:rightChars="-14" w:firstLine="560" w:firstLineChars="200"/>
        <w:rPr>
          <w:sz w:val="28"/>
          <w:szCs w:val="28"/>
        </w:rPr>
      </w:pPr>
      <w:r>
        <w:rPr>
          <w:sz w:val="28"/>
          <w:szCs w:val="28"/>
        </w:rPr>
        <w:t>《建设项目环境影响报告表》由具有从事环境影响评价工作资质的单位编制。</w:t>
      </w:r>
    </w:p>
    <w:p>
      <w:pPr>
        <w:spacing w:line="360" w:lineRule="auto"/>
        <w:ind w:right="-29" w:rightChars="-14" w:firstLine="560" w:firstLineChars="200"/>
        <w:rPr>
          <w:sz w:val="28"/>
          <w:szCs w:val="28"/>
        </w:rPr>
      </w:pPr>
      <w:r>
        <w:rPr>
          <w:sz w:val="28"/>
          <w:szCs w:val="28"/>
        </w:rPr>
        <w:t>1.项目名称——指项目立项批复时的名称，应不超过30个字（两个英文字段作一个汉字）。</w:t>
      </w:r>
    </w:p>
    <w:p>
      <w:pPr>
        <w:spacing w:line="360" w:lineRule="auto"/>
        <w:ind w:right="-29" w:rightChars="-14" w:firstLine="560" w:firstLineChars="200"/>
        <w:rPr>
          <w:sz w:val="28"/>
          <w:szCs w:val="28"/>
        </w:rPr>
      </w:pPr>
      <w:r>
        <w:rPr>
          <w:sz w:val="28"/>
          <w:szCs w:val="28"/>
        </w:rPr>
        <w:t>2.建设地点——指项目所在地详细地址，公路、铁路应填写起止地点。</w:t>
      </w:r>
    </w:p>
    <w:p>
      <w:pPr>
        <w:spacing w:line="360" w:lineRule="auto"/>
        <w:ind w:right="-29" w:rightChars="-14" w:firstLine="560" w:firstLineChars="200"/>
        <w:rPr>
          <w:sz w:val="28"/>
          <w:szCs w:val="28"/>
        </w:rPr>
      </w:pPr>
      <w:r>
        <w:rPr>
          <w:sz w:val="28"/>
          <w:szCs w:val="28"/>
        </w:rPr>
        <w:t>3.行业类别——按国标填写。</w:t>
      </w:r>
    </w:p>
    <w:p>
      <w:pPr>
        <w:spacing w:line="360" w:lineRule="auto"/>
        <w:ind w:right="-29" w:rightChars="-14" w:firstLine="560" w:firstLineChars="200"/>
        <w:rPr>
          <w:sz w:val="28"/>
          <w:szCs w:val="28"/>
        </w:rPr>
      </w:pPr>
      <w:r>
        <w:rPr>
          <w:sz w:val="28"/>
          <w:szCs w:val="28"/>
        </w:rPr>
        <w:t>4.总投资——指项目投资总额。</w:t>
      </w:r>
    </w:p>
    <w:p>
      <w:pPr>
        <w:spacing w:line="360" w:lineRule="auto"/>
        <w:ind w:right="-29" w:rightChars="-14" w:firstLine="560" w:firstLineChars="200"/>
        <w:rPr>
          <w:sz w:val="28"/>
          <w:szCs w:val="28"/>
        </w:rPr>
      </w:pPr>
      <w:r>
        <w:rPr>
          <w:sz w:val="28"/>
          <w:szCs w:val="28"/>
        </w:rPr>
        <w:t>5.主要环境保护目标——指项目区周围一定范围内集中居民住宅区、学校、医院、保护文物、风景名胜区、水源地和生态敏感点等，应尽可能给出保护目标、性质、规模和距厂界距离等。</w:t>
      </w:r>
    </w:p>
    <w:p>
      <w:pPr>
        <w:spacing w:line="360" w:lineRule="auto"/>
        <w:ind w:right="-29" w:rightChars="-14" w:firstLine="560" w:firstLineChars="200"/>
        <w:rPr>
          <w:sz w:val="28"/>
          <w:szCs w:val="28"/>
        </w:rPr>
      </w:pPr>
      <w:r>
        <w:rPr>
          <w:sz w:val="28"/>
          <w:szCs w:val="28"/>
        </w:rPr>
        <w:t>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line="360" w:lineRule="auto"/>
        <w:ind w:right="-29" w:rightChars="-14" w:firstLine="560" w:firstLineChars="200"/>
        <w:rPr>
          <w:sz w:val="28"/>
          <w:szCs w:val="28"/>
        </w:rPr>
      </w:pPr>
      <w:r>
        <w:rPr>
          <w:sz w:val="28"/>
          <w:szCs w:val="28"/>
        </w:rPr>
        <w:t>7.预审意见——由行业主管部门填写答复意见，无主管部门项目，可不填。</w:t>
      </w:r>
    </w:p>
    <w:p>
      <w:pPr>
        <w:spacing w:line="360" w:lineRule="auto"/>
        <w:ind w:right="-29" w:rightChars="-14" w:firstLine="560" w:firstLineChars="200"/>
        <w:rPr>
          <w:sz w:val="28"/>
          <w:szCs w:val="28"/>
        </w:rPr>
      </w:pPr>
      <w:r>
        <w:rPr>
          <w:sz w:val="28"/>
          <w:szCs w:val="28"/>
        </w:rPr>
        <w:t>8.审批意见——由负责审批该项目的环境保护行政主管部门批复。</w:t>
      </w:r>
    </w:p>
    <w:p>
      <w:pPr>
        <w:spacing w:line="360" w:lineRule="auto"/>
        <w:ind w:right="-29" w:rightChars="-14" w:firstLine="560" w:firstLineChars="200"/>
        <w:rPr>
          <w:sz w:val="28"/>
          <w:szCs w:val="28"/>
        </w:rPr>
      </w:pPr>
    </w:p>
    <w:p>
      <w:pPr>
        <w:spacing w:line="400" w:lineRule="exact"/>
        <w:rPr>
          <w:rFonts w:ascii="宋体" w:hAnsi="宋体"/>
          <w:b/>
          <w:sz w:val="36"/>
          <w:szCs w:val="36"/>
        </w:rPr>
      </w:pPr>
      <w:r>
        <w:rPr>
          <w:rFonts w:eastAsia="黑体"/>
          <w:sz w:val="24"/>
          <w:szCs w:val="24"/>
        </w:rPr>
        <w:br w:type="page"/>
      </w:r>
    </w:p>
    <w:p>
      <w:pPr>
        <w:spacing w:line="400" w:lineRule="exact"/>
        <w:jc w:val="center"/>
        <w:rPr>
          <w:rFonts w:ascii="宋体" w:hAnsi="宋体"/>
          <w:b/>
          <w:sz w:val="36"/>
          <w:szCs w:val="36"/>
        </w:rPr>
      </w:pPr>
      <w:r>
        <w:rPr>
          <w:rFonts w:hint="eastAsia" w:ascii="宋体" w:hAnsi="宋体"/>
          <w:b/>
          <w:sz w:val="36"/>
          <w:szCs w:val="36"/>
        </w:rPr>
        <w:t>目   录</w:t>
      </w:r>
    </w:p>
    <w:p>
      <w:pPr>
        <w:spacing w:line="400" w:lineRule="exact"/>
        <w:jc w:val="center"/>
        <w:rPr>
          <w:rFonts w:ascii="宋体" w:hAnsi="宋体"/>
          <w:b/>
          <w:sz w:val="36"/>
          <w:szCs w:val="36"/>
        </w:rPr>
      </w:pPr>
    </w:p>
    <w:p>
      <w:pPr>
        <w:pStyle w:val="13"/>
        <w:rPr>
          <w:rFonts w:ascii="Calibri" w:hAnsi="Calibri"/>
        </w:rPr>
      </w:pPr>
      <w:r>
        <w:rPr>
          <w:rFonts w:ascii="宋体" w:hAnsi="宋体"/>
          <w:sz w:val="24"/>
          <w:szCs w:val="24"/>
        </w:rPr>
        <w:fldChar w:fldCharType="begin"/>
      </w:r>
      <w:r>
        <w:rPr>
          <w:rFonts w:ascii="宋体" w:hAnsi="宋体"/>
          <w:sz w:val="24"/>
          <w:szCs w:val="24"/>
        </w:rPr>
        <w:instrText xml:space="preserve">TOC \o "1-1" \h \u </w:instrText>
      </w:r>
      <w:r>
        <w:rPr>
          <w:rFonts w:ascii="宋体" w:hAnsi="宋体"/>
          <w:sz w:val="24"/>
          <w:szCs w:val="24"/>
        </w:rPr>
        <w:fldChar w:fldCharType="separate"/>
      </w:r>
      <w:r>
        <w:fldChar w:fldCharType="begin"/>
      </w:r>
      <w:r>
        <w:instrText xml:space="preserve"> HYPERLINK \l "_Toc460481174" </w:instrText>
      </w:r>
      <w:r>
        <w:fldChar w:fldCharType="separate"/>
      </w:r>
      <w:r>
        <w:rPr>
          <w:rStyle w:val="17"/>
          <w:rFonts w:hint="eastAsia"/>
        </w:rPr>
        <w:t>一、建设项目基本情况</w:t>
      </w:r>
      <w:r>
        <w:tab/>
      </w:r>
      <w:r>
        <w:fldChar w:fldCharType="begin"/>
      </w:r>
      <w:r>
        <w:instrText xml:space="preserve"> PAGEREF _Toc460481174 \h </w:instrText>
      </w:r>
      <w:r>
        <w:fldChar w:fldCharType="separate"/>
      </w:r>
      <w:r>
        <w:t>1</w:t>
      </w:r>
      <w:r>
        <w:fldChar w:fldCharType="end"/>
      </w:r>
      <w:r>
        <w:fldChar w:fldCharType="end"/>
      </w:r>
    </w:p>
    <w:p>
      <w:pPr>
        <w:pStyle w:val="13"/>
        <w:rPr>
          <w:rFonts w:ascii="Calibri" w:hAnsi="Calibri"/>
        </w:rPr>
      </w:pPr>
      <w:r>
        <w:fldChar w:fldCharType="begin"/>
      </w:r>
      <w:r>
        <w:instrText xml:space="preserve"> HYPERLINK \l "_Toc460481175" </w:instrText>
      </w:r>
      <w:r>
        <w:fldChar w:fldCharType="separate"/>
      </w:r>
      <w:r>
        <w:rPr>
          <w:rStyle w:val="17"/>
          <w:rFonts w:hint="eastAsia"/>
        </w:rPr>
        <w:t>二、建设项目所在地自然环境社会环境简况</w:t>
      </w:r>
      <w:r>
        <w:tab/>
      </w:r>
      <w:r>
        <w:fldChar w:fldCharType="begin"/>
      </w:r>
      <w:r>
        <w:instrText xml:space="preserve"> PAGEREF _Toc460481175 \h </w:instrText>
      </w:r>
      <w:r>
        <w:fldChar w:fldCharType="separate"/>
      </w:r>
      <w:r>
        <w:t>11</w:t>
      </w:r>
      <w:r>
        <w:fldChar w:fldCharType="end"/>
      </w:r>
      <w:r>
        <w:fldChar w:fldCharType="end"/>
      </w:r>
    </w:p>
    <w:p>
      <w:pPr>
        <w:pStyle w:val="13"/>
        <w:rPr>
          <w:rFonts w:ascii="Calibri" w:hAnsi="Calibri"/>
        </w:rPr>
      </w:pPr>
      <w:r>
        <w:fldChar w:fldCharType="begin"/>
      </w:r>
      <w:r>
        <w:instrText xml:space="preserve"> HYPERLINK \l "_Toc460481176" </w:instrText>
      </w:r>
      <w:r>
        <w:fldChar w:fldCharType="separate"/>
      </w:r>
      <w:r>
        <w:rPr>
          <w:rStyle w:val="17"/>
          <w:rFonts w:hint="eastAsia"/>
        </w:rPr>
        <w:t>三、环境质量状况</w:t>
      </w:r>
      <w:r>
        <w:tab/>
      </w:r>
      <w:r>
        <w:fldChar w:fldCharType="begin"/>
      </w:r>
      <w:r>
        <w:instrText xml:space="preserve"> PAGEREF _Toc460481176 \h </w:instrText>
      </w:r>
      <w:r>
        <w:fldChar w:fldCharType="separate"/>
      </w:r>
      <w:r>
        <w:t>15</w:t>
      </w:r>
      <w:r>
        <w:fldChar w:fldCharType="end"/>
      </w:r>
      <w:r>
        <w:fldChar w:fldCharType="end"/>
      </w:r>
    </w:p>
    <w:p>
      <w:pPr>
        <w:pStyle w:val="13"/>
        <w:rPr>
          <w:rFonts w:ascii="Calibri" w:hAnsi="Calibri"/>
        </w:rPr>
      </w:pPr>
      <w:r>
        <w:fldChar w:fldCharType="begin"/>
      </w:r>
      <w:r>
        <w:instrText xml:space="preserve"> HYPERLINK \l "_Toc460481177" </w:instrText>
      </w:r>
      <w:r>
        <w:fldChar w:fldCharType="separate"/>
      </w:r>
      <w:r>
        <w:rPr>
          <w:rStyle w:val="17"/>
          <w:rFonts w:hint="eastAsia" w:ascii="黑体" w:hAnsi="黑体"/>
        </w:rPr>
        <w:t>四、</w:t>
      </w:r>
      <w:r>
        <w:rPr>
          <w:rStyle w:val="17"/>
          <w:rFonts w:hint="eastAsia"/>
        </w:rPr>
        <w:t>评价适用标准</w:t>
      </w:r>
      <w:r>
        <w:tab/>
      </w:r>
      <w:r>
        <w:fldChar w:fldCharType="begin"/>
      </w:r>
      <w:r>
        <w:instrText xml:space="preserve"> PAGEREF _Toc460481177 \h </w:instrText>
      </w:r>
      <w:r>
        <w:fldChar w:fldCharType="separate"/>
      </w:r>
      <w:r>
        <w:t>20</w:t>
      </w:r>
      <w:r>
        <w:fldChar w:fldCharType="end"/>
      </w:r>
      <w:r>
        <w:fldChar w:fldCharType="end"/>
      </w:r>
    </w:p>
    <w:p>
      <w:pPr>
        <w:pStyle w:val="13"/>
        <w:rPr>
          <w:rFonts w:ascii="Calibri" w:hAnsi="Calibri"/>
        </w:rPr>
      </w:pPr>
      <w:r>
        <w:fldChar w:fldCharType="begin"/>
      </w:r>
      <w:r>
        <w:instrText xml:space="preserve"> HYPERLINK \l "_Toc460481178" </w:instrText>
      </w:r>
      <w:r>
        <w:fldChar w:fldCharType="separate"/>
      </w:r>
      <w:r>
        <w:rPr>
          <w:rStyle w:val="17"/>
          <w:rFonts w:hint="eastAsia"/>
        </w:rPr>
        <w:t>五、建设项目工程分析</w:t>
      </w:r>
      <w:r>
        <w:tab/>
      </w:r>
      <w:r>
        <w:fldChar w:fldCharType="begin"/>
      </w:r>
      <w:r>
        <w:instrText xml:space="preserve"> PAGEREF _Toc460481178 \h </w:instrText>
      </w:r>
      <w:r>
        <w:fldChar w:fldCharType="separate"/>
      </w:r>
      <w:r>
        <w:t>21</w:t>
      </w:r>
      <w:r>
        <w:fldChar w:fldCharType="end"/>
      </w:r>
      <w:r>
        <w:fldChar w:fldCharType="end"/>
      </w:r>
    </w:p>
    <w:p>
      <w:pPr>
        <w:pStyle w:val="13"/>
        <w:rPr>
          <w:rFonts w:ascii="Calibri" w:hAnsi="Calibri"/>
        </w:rPr>
      </w:pPr>
      <w:r>
        <w:fldChar w:fldCharType="begin"/>
      </w:r>
      <w:r>
        <w:instrText xml:space="preserve"> HYPERLINK \l "_Toc460481179" </w:instrText>
      </w:r>
      <w:r>
        <w:fldChar w:fldCharType="separate"/>
      </w:r>
      <w:r>
        <w:rPr>
          <w:rStyle w:val="17"/>
          <w:rFonts w:hint="eastAsia" w:ascii="黑体" w:hAnsi="黑体"/>
        </w:rPr>
        <w:t>六、项目主要污染物产生及预计排放情况</w:t>
      </w:r>
      <w:r>
        <w:tab/>
      </w:r>
      <w:r>
        <w:fldChar w:fldCharType="begin"/>
      </w:r>
      <w:r>
        <w:instrText xml:space="preserve"> PAGEREF _Toc460481179 \h </w:instrText>
      </w:r>
      <w:r>
        <w:fldChar w:fldCharType="separate"/>
      </w:r>
      <w:r>
        <w:t>24</w:t>
      </w:r>
      <w:r>
        <w:fldChar w:fldCharType="end"/>
      </w:r>
      <w:r>
        <w:fldChar w:fldCharType="end"/>
      </w:r>
    </w:p>
    <w:p>
      <w:pPr>
        <w:pStyle w:val="13"/>
        <w:rPr>
          <w:rFonts w:ascii="Calibri" w:hAnsi="Calibri"/>
        </w:rPr>
      </w:pPr>
      <w:r>
        <w:fldChar w:fldCharType="begin"/>
      </w:r>
      <w:r>
        <w:instrText xml:space="preserve"> HYPERLINK \l "_Toc460481180" </w:instrText>
      </w:r>
      <w:r>
        <w:fldChar w:fldCharType="separate"/>
      </w:r>
      <w:r>
        <w:rPr>
          <w:rStyle w:val="17"/>
          <w:rFonts w:hint="eastAsia" w:ascii="黑体" w:hAnsi="黑体"/>
        </w:rPr>
        <w:t>七、环境影响分析</w:t>
      </w:r>
      <w:r>
        <w:tab/>
      </w:r>
      <w:r>
        <w:fldChar w:fldCharType="begin"/>
      </w:r>
      <w:r>
        <w:instrText xml:space="preserve"> PAGEREF _Toc460481180 \h </w:instrText>
      </w:r>
      <w:r>
        <w:fldChar w:fldCharType="separate"/>
      </w:r>
      <w:r>
        <w:t>25</w:t>
      </w:r>
      <w:r>
        <w:fldChar w:fldCharType="end"/>
      </w:r>
      <w:r>
        <w:fldChar w:fldCharType="end"/>
      </w:r>
    </w:p>
    <w:p>
      <w:pPr>
        <w:pStyle w:val="13"/>
        <w:rPr>
          <w:rFonts w:ascii="Calibri" w:hAnsi="Calibri"/>
        </w:rPr>
      </w:pPr>
      <w:r>
        <w:fldChar w:fldCharType="begin"/>
      </w:r>
      <w:r>
        <w:instrText xml:space="preserve"> HYPERLINK \l "_Toc460481181" </w:instrText>
      </w:r>
      <w:r>
        <w:fldChar w:fldCharType="separate"/>
      </w:r>
      <w:r>
        <w:rPr>
          <w:rStyle w:val="17"/>
          <w:rFonts w:hint="eastAsia" w:ascii="黑体" w:hAnsi="黑体"/>
        </w:rPr>
        <w:t>八、建设项目拟采取的防治措施及</w:t>
      </w:r>
      <w:r>
        <w:rPr>
          <w:rStyle w:val="17"/>
          <w:rFonts w:hint="eastAsia"/>
        </w:rPr>
        <w:t>预期治理效果</w:t>
      </w:r>
      <w:r>
        <w:tab/>
      </w:r>
      <w:r>
        <w:fldChar w:fldCharType="begin"/>
      </w:r>
      <w:r>
        <w:instrText xml:space="preserve"> PAGEREF _Toc460481181 \h </w:instrText>
      </w:r>
      <w:r>
        <w:fldChar w:fldCharType="separate"/>
      </w:r>
      <w:r>
        <w:t>35</w:t>
      </w:r>
      <w:r>
        <w:fldChar w:fldCharType="end"/>
      </w:r>
      <w:r>
        <w:fldChar w:fldCharType="end"/>
      </w:r>
    </w:p>
    <w:p>
      <w:pPr>
        <w:pStyle w:val="13"/>
        <w:rPr>
          <w:rFonts w:ascii="Calibri" w:hAnsi="Calibri"/>
        </w:rPr>
      </w:pPr>
      <w:r>
        <w:fldChar w:fldCharType="begin"/>
      </w:r>
      <w:r>
        <w:instrText xml:space="preserve"> HYPERLINK \l "_Toc460481182" </w:instrText>
      </w:r>
      <w:r>
        <w:fldChar w:fldCharType="separate"/>
      </w:r>
      <w:r>
        <w:rPr>
          <w:rStyle w:val="17"/>
          <w:rFonts w:hint="eastAsia"/>
        </w:rPr>
        <w:t>九、结论与建议</w:t>
      </w:r>
      <w:r>
        <w:tab/>
      </w:r>
      <w:r>
        <w:fldChar w:fldCharType="begin"/>
      </w:r>
      <w:r>
        <w:instrText xml:space="preserve"> PAGEREF _Toc460481182 \h </w:instrText>
      </w:r>
      <w:r>
        <w:fldChar w:fldCharType="separate"/>
      </w:r>
      <w:r>
        <w:t>36</w:t>
      </w:r>
      <w:r>
        <w:fldChar w:fldCharType="end"/>
      </w:r>
      <w:r>
        <w:fldChar w:fldCharType="end"/>
      </w:r>
    </w:p>
    <w:p>
      <w:pPr>
        <w:spacing w:line="360" w:lineRule="auto"/>
        <w:jc w:val="left"/>
        <w:rPr>
          <w:rFonts w:ascii="宋体" w:hAnsi="宋体" w:cs="宋体"/>
          <w:sz w:val="24"/>
          <w:szCs w:val="24"/>
        </w:rPr>
      </w:pPr>
      <w:r>
        <w:rPr>
          <w:rFonts w:ascii="宋体" w:hAnsi="宋体"/>
          <w:sz w:val="24"/>
          <w:szCs w:val="24"/>
        </w:rPr>
        <w:fldChar w:fldCharType="end"/>
      </w:r>
    </w:p>
    <w:p>
      <w:pPr>
        <w:rPr>
          <w:rFonts w:eastAsia="黑体"/>
          <w:sz w:val="32"/>
          <w:szCs w:val="32"/>
        </w:rPr>
      </w:pPr>
    </w:p>
    <w:p>
      <w:pPr>
        <w:rPr>
          <w:rFonts w:eastAsia="黑体"/>
          <w:sz w:val="32"/>
          <w:szCs w:val="32"/>
        </w:rPr>
      </w:pPr>
    </w:p>
    <w:p>
      <w:pPr>
        <w:rPr>
          <w:rFonts w:eastAsia="黑体"/>
          <w:sz w:val="32"/>
          <w:szCs w:val="32"/>
        </w:rPr>
      </w:pPr>
    </w:p>
    <w:p>
      <w:pPr>
        <w:rPr>
          <w:rFonts w:eastAsia="黑体"/>
          <w:sz w:val="32"/>
          <w:szCs w:val="32"/>
        </w:rPr>
      </w:pPr>
    </w:p>
    <w:p>
      <w:pPr>
        <w:rPr>
          <w:rFonts w:eastAsia="黑体"/>
          <w:sz w:val="32"/>
          <w:szCs w:val="32"/>
        </w:rPr>
      </w:pPr>
    </w:p>
    <w:p>
      <w:pPr>
        <w:rPr>
          <w:rFonts w:eastAsia="黑体"/>
          <w:sz w:val="32"/>
          <w:szCs w:val="32"/>
        </w:rPr>
      </w:pPr>
    </w:p>
    <w:p>
      <w:pPr>
        <w:rPr>
          <w:rFonts w:eastAsia="黑体"/>
          <w:sz w:val="32"/>
          <w:szCs w:val="32"/>
        </w:rPr>
      </w:pPr>
    </w:p>
    <w:p>
      <w:pPr>
        <w:spacing w:line="360" w:lineRule="auto"/>
        <w:jc w:val="left"/>
        <w:rPr>
          <w:color w:val="FF0000"/>
          <w:sz w:val="24"/>
          <w:szCs w:val="24"/>
        </w:rPr>
      </w:pPr>
      <w:r>
        <w:rPr>
          <w:rFonts w:eastAsia="黑体"/>
          <w:sz w:val="32"/>
          <w:szCs w:val="32"/>
        </w:rPr>
        <w:br w:type="page"/>
      </w:r>
      <w:r>
        <w:rPr>
          <w:color w:val="FF0000"/>
          <w:sz w:val="24"/>
          <w:szCs w:val="24"/>
        </w:rPr>
        <w:t xml:space="preserve"> </w:t>
      </w:r>
    </w:p>
    <w:p>
      <w:pPr>
        <w:spacing w:line="520" w:lineRule="exact"/>
        <w:jc w:val="left"/>
        <w:rPr>
          <w:b/>
          <w:color w:val="000000"/>
          <w:sz w:val="24"/>
          <w:szCs w:val="24"/>
        </w:rPr>
      </w:pPr>
      <w:r>
        <w:rPr>
          <w:b/>
          <w:color w:val="000000"/>
          <w:sz w:val="24"/>
          <w:szCs w:val="24"/>
        </w:rPr>
        <w:t>附件：</w:t>
      </w:r>
    </w:p>
    <w:p>
      <w:pPr>
        <w:spacing w:line="520" w:lineRule="exact"/>
        <w:jc w:val="left"/>
        <w:rPr>
          <w:color w:val="000000"/>
          <w:sz w:val="24"/>
          <w:szCs w:val="24"/>
        </w:rPr>
      </w:pPr>
      <w:r>
        <w:rPr>
          <w:color w:val="000000"/>
          <w:sz w:val="24"/>
          <w:szCs w:val="24"/>
        </w:rPr>
        <w:t>附件一、环评委托书</w:t>
      </w:r>
    </w:p>
    <w:p>
      <w:pPr>
        <w:spacing w:line="520" w:lineRule="exact"/>
        <w:jc w:val="left"/>
        <w:rPr>
          <w:color w:val="000000"/>
          <w:sz w:val="24"/>
          <w:szCs w:val="24"/>
        </w:rPr>
      </w:pPr>
      <w:r>
        <w:rPr>
          <w:color w:val="000000"/>
          <w:sz w:val="24"/>
          <w:szCs w:val="24"/>
        </w:rPr>
        <w:t>附件</w:t>
      </w:r>
      <w:r>
        <w:rPr>
          <w:rFonts w:hint="eastAsia"/>
          <w:color w:val="000000"/>
          <w:sz w:val="24"/>
          <w:szCs w:val="24"/>
        </w:rPr>
        <w:t>二</w:t>
      </w:r>
      <w:r>
        <w:rPr>
          <w:color w:val="000000"/>
          <w:sz w:val="24"/>
          <w:szCs w:val="24"/>
        </w:rPr>
        <w:t>、</w:t>
      </w:r>
      <w:r>
        <w:rPr>
          <w:rFonts w:hint="eastAsia"/>
          <w:color w:val="000000"/>
          <w:sz w:val="24"/>
          <w:szCs w:val="24"/>
        </w:rPr>
        <w:t>可研批复</w:t>
      </w:r>
    </w:p>
    <w:p>
      <w:pPr>
        <w:spacing w:line="520" w:lineRule="exact"/>
        <w:jc w:val="left"/>
        <w:rPr>
          <w:color w:val="000000"/>
          <w:sz w:val="24"/>
          <w:szCs w:val="24"/>
        </w:rPr>
      </w:pPr>
      <w:r>
        <w:rPr>
          <w:rFonts w:hint="eastAsia"/>
          <w:color w:val="000000"/>
          <w:sz w:val="24"/>
          <w:szCs w:val="24"/>
        </w:rPr>
        <w:t>附件三、监测质保单</w:t>
      </w:r>
    </w:p>
    <w:p>
      <w:pPr>
        <w:spacing w:line="520" w:lineRule="exact"/>
        <w:jc w:val="left"/>
        <w:rPr>
          <w:color w:val="000000"/>
          <w:sz w:val="24"/>
          <w:szCs w:val="24"/>
        </w:rPr>
      </w:pPr>
    </w:p>
    <w:p>
      <w:pPr>
        <w:spacing w:line="520" w:lineRule="exact"/>
        <w:rPr>
          <w:rFonts w:eastAsia="黑体"/>
          <w:color w:val="000000"/>
          <w:sz w:val="24"/>
          <w:szCs w:val="24"/>
        </w:rPr>
      </w:pPr>
      <w:r>
        <w:rPr>
          <w:b/>
          <w:color w:val="000000"/>
          <w:sz w:val="24"/>
          <w:szCs w:val="24"/>
        </w:rPr>
        <w:t>附图</w:t>
      </w:r>
      <w:r>
        <w:rPr>
          <w:color w:val="000000"/>
          <w:sz w:val="24"/>
          <w:szCs w:val="24"/>
        </w:rPr>
        <w:t>：</w:t>
      </w:r>
    </w:p>
    <w:p>
      <w:pPr>
        <w:spacing w:line="520" w:lineRule="exact"/>
        <w:rPr>
          <w:color w:val="000000"/>
          <w:sz w:val="24"/>
          <w:szCs w:val="24"/>
        </w:rPr>
      </w:pPr>
      <w:r>
        <w:rPr>
          <w:color w:val="000000"/>
          <w:sz w:val="24"/>
          <w:szCs w:val="24"/>
        </w:rPr>
        <w:t>附图一、地理位置图</w:t>
      </w:r>
    </w:p>
    <w:p>
      <w:pPr>
        <w:spacing w:line="520" w:lineRule="exact"/>
        <w:rPr>
          <w:color w:val="000000"/>
          <w:sz w:val="24"/>
          <w:szCs w:val="24"/>
        </w:rPr>
      </w:pPr>
      <w:r>
        <w:rPr>
          <w:color w:val="000000"/>
          <w:sz w:val="24"/>
          <w:szCs w:val="24"/>
        </w:rPr>
        <w:t>附图</w:t>
      </w:r>
      <w:r>
        <w:rPr>
          <w:rFonts w:hint="eastAsia"/>
          <w:color w:val="000000"/>
          <w:sz w:val="24"/>
          <w:szCs w:val="24"/>
        </w:rPr>
        <w:t>二</w:t>
      </w:r>
      <w:r>
        <w:rPr>
          <w:color w:val="000000"/>
          <w:sz w:val="24"/>
          <w:szCs w:val="24"/>
        </w:rPr>
        <w:t>、</w:t>
      </w:r>
      <w:r>
        <w:rPr>
          <w:rFonts w:hint="eastAsia"/>
          <w:color w:val="000000"/>
          <w:sz w:val="24"/>
          <w:szCs w:val="24"/>
        </w:rPr>
        <w:t>拟建项目平面布置图</w:t>
      </w:r>
    </w:p>
    <w:p>
      <w:pPr>
        <w:spacing w:line="520" w:lineRule="exact"/>
        <w:rPr>
          <w:color w:val="000000"/>
          <w:sz w:val="24"/>
          <w:szCs w:val="24"/>
        </w:rPr>
      </w:pPr>
      <w:r>
        <w:rPr>
          <w:color w:val="000000"/>
          <w:sz w:val="24"/>
          <w:szCs w:val="24"/>
        </w:rPr>
        <w:t>附图</w:t>
      </w:r>
      <w:r>
        <w:rPr>
          <w:rFonts w:hint="eastAsia"/>
          <w:color w:val="000000"/>
          <w:sz w:val="24"/>
          <w:szCs w:val="24"/>
        </w:rPr>
        <w:t>三</w:t>
      </w:r>
      <w:r>
        <w:rPr>
          <w:color w:val="000000"/>
          <w:sz w:val="24"/>
          <w:szCs w:val="24"/>
        </w:rPr>
        <w:t>、</w:t>
      </w:r>
      <w:r>
        <w:rPr>
          <w:rFonts w:hint="eastAsia"/>
          <w:color w:val="000000"/>
          <w:sz w:val="24"/>
          <w:szCs w:val="24"/>
        </w:rPr>
        <w:t>拟建项目保护目标图</w:t>
      </w:r>
    </w:p>
    <w:p>
      <w:pPr>
        <w:spacing w:line="520" w:lineRule="exact"/>
        <w:rPr>
          <w:color w:val="000000"/>
          <w:sz w:val="24"/>
          <w:szCs w:val="24"/>
        </w:rPr>
      </w:pPr>
      <w:r>
        <w:rPr>
          <w:color w:val="000000"/>
          <w:sz w:val="24"/>
          <w:szCs w:val="24"/>
        </w:rPr>
        <w:t>附图</w:t>
      </w:r>
      <w:r>
        <w:rPr>
          <w:rFonts w:hint="eastAsia"/>
          <w:color w:val="000000"/>
          <w:sz w:val="24"/>
          <w:szCs w:val="24"/>
        </w:rPr>
        <w:t>四</w:t>
      </w:r>
      <w:r>
        <w:rPr>
          <w:color w:val="000000"/>
          <w:sz w:val="24"/>
          <w:szCs w:val="24"/>
        </w:rPr>
        <w:t>、现状环境监测布点图</w:t>
      </w:r>
    </w:p>
    <w:p>
      <w:pPr>
        <w:spacing w:line="520" w:lineRule="exact"/>
        <w:rPr>
          <w:color w:val="000000"/>
          <w:sz w:val="24"/>
          <w:szCs w:val="24"/>
        </w:rPr>
      </w:pPr>
      <w:r>
        <w:rPr>
          <w:color w:val="000000"/>
          <w:sz w:val="24"/>
          <w:szCs w:val="24"/>
        </w:rPr>
        <w:t>附图五、</w:t>
      </w:r>
      <w:r>
        <w:rPr>
          <w:rFonts w:hint="eastAsia"/>
          <w:color w:val="000000"/>
          <w:sz w:val="24"/>
          <w:szCs w:val="24"/>
        </w:rPr>
        <w:t>湖南东洞庭湖国家级自然保护区调整前后功能区划图</w:t>
      </w:r>
    </w:p>
    <w:p>
      <w:pPr>
        <w:spacing w:line="520" w:lineRule="exact"/>
        <w:rPr>
          <w:color w:val="000000"/>
          <w:sz w:val="24"/>
          <w:szCs w:val="24"/>
        </w:rPr>
      </w:pPr>
      <w:r>
        <w:rPr>
          <w:color w:val="000000"/>
          <w:sz w:val="24"/>
          <w:szCs w:val="24"/>
        </w:rPr>
        <w:t>附图</w:t>
      </w:r>
      <w:r>
        <w:rPr>
          <w:rFonts w:hint="eastAsia"/>
          <w:color w:val="000000"/>
          <w:sz w:val="24"/>
          <w:szCs w:val="24"/>
        </w:rPr>
        <w:t>六</w:t>
      </w:r>
      <w:r>
        <w:rPr>
          <w:color w:val="000000"/>
          <w:sz w:val="24"/>
          <w:szCs w:val="24"/>
        </w:rPr>
        <w:t>、</w:t>
      </w:r>
      <w:r>
        <w:rPr>
          <w:rFonts w:hint="eastAsia"/>
          <w:color w:val="000000"/>
          <w:sz w:val="24"/>
          <w:szCs w:val="24"/>
        </w:rPr>
        <w:t>拟建项目现状图</w:t>
      </w:r>
    </w:p>
    <w:p/>
    <w:p>
      <w:pPr>
        <w:spacing w:line="520" w:lineRule="exact"/>
        <w:jc w:val="left"/>
        <w:rPr>
          <w:b/>
          <w:color w:val="000000"/>
          <w:sz w:val="24"/>
          <w:szCs w:val="24"/>
        </w:rPr>
      </w:pPr>
      <w:r>
        <w:rPr>
          <w:rFonts w:hint="eastAsia"/>
          <w:b/>
          <w:color w:val="000000"/>
          <w:sz w:val="24"/>
          <w:szCs w:val="24"/>
        </w:rPr>
        <w:t>附表：</w:t>
      </w:r>
    </w:p>
    <w:p>
      <w:pPr>
        <w:spacing w:line="520" w:lineRule="exact"/>
        <w:jc w:val="left"/>
        <w:rPr>
          <w:color w:val="000000"/>
          <w:sz w:val="24"/>
          <w:szCs w:val="24"/>
        </w:rPr>
      </w:pPr>
      <w:r>
        <w:rPr>
          <w:rFonts w:hint="eastAsia"/>
          <w:color w:val="000000"/>
          <w:sz w:val="24"/>
          <w:szCs w:val="24"/>
        </w:rPr>
        <w:t>建设项目信息基础表</w:t>
      </w:r>
    </w:p>
    <w:p>
      <w:pPr>
        <w:adjustRightInd w:val="0"/>
        <w:snapToGrid w:val="0"/>
        <w:spacing w:line="360" w:lineRule="auto"/>
        <w:ind w:firstLine="480" w:firstLineChars="200"/>
        <w:rPr>
          <w:color w:val="FF0000"/>
          <w:sz w:val="24"/>
          <w:szCs w:val="24"/>
        </w:rPr>
      </w:pPr>
    </w:p>
    <w:p>
      <w:pPr>
        <w:adjustRightInd w:val="0"/>
        <w:snapToGrid w:val="0"/>
        <w:spacing w:line="360" w:lineRule="auto"/>
        <w:ind w:firstLine="480" w:firstLineChars="200"/>
        <w:rPr>
          <w:color w:val="FF0000"/>
          <w:sz w:val="24"/>
          <w:szCs w:val="24"/>
        </w:rPr>
        <w:sectPr>
          <w:footerReference r:id="rId3" w:type="default"/>
          <w:footerReference r:id="rId4" w:type="even"/>
          <w:pgSz w:w="11907" w:h="16840"/>
          <w:pgMar w:top="1418" w:right="1418" w:bottom="1418" w:left="1588" w:header="454" w:footer="964" w:gutter="0"/>
          <w:pgNumType w:start="1"/>
          <w:cols w:space="720" w:num="1"/>
          <w:titlePg/>
          <w:docGrid w:linePitch="380" w:charSpace="0"/>
        </w:sectPr>
      </w:pPr>
    </w:p>
    <w:p>
      <w:pPr>
        <w:snapToGrid w:val="0"/>
        <w:outlineLvl w:val="0"/>
        <w:rPr>
          <w:rFonts w:eastAsia="黑体"/>
          <w:sz w:val="32"/>
        </w:rPr>
      </w:pPr>
      <w:bookmarkStart w:id="0" w:name="_Toc460481174"/>
      <w:r>
        <w:rPr>
          <w:rFonts w:hint="eastAsia" w:eastAsia="黑体"/>
          <w:sz w:val="32"/>
        </w:rPr>
        <w:t>一、</w:t>
      </w:r>
      <w:r>
        <w:rPr>
          <w:rFonts w:eastAsia="黑体"/>
          <w:sz w:val="32"/>
        </w:rPr>
        <w:t>建设项目基本情况</w:t>
      </w:r>
      <w:bookmarkEnd w:id="0"/>
    </w:p>
    <w:tbl>
      <w:tblPr>
        <w:tblStyle w:val="19"/>
        <w:tblW w:w="9496"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
      <w:tblGrid>
        <w:gridCol w:w="1593"/>
        <w:gridCol w:w="2050"/>
        <w:gridCol w:w="1220"/>
        <w:gridCol w:w="502"/>
        <w:gridCol w:w="1567"/>
        <w:gridCol w:w="10"/>
        <w:gridCol w:w="866"/>
        <w:gridCol w:w="513"/>
        <w:gridCol w:w="11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kern w:val="24"/>
                <w:sz w:val="24"/>
              </w:rPr>
            </w:pPr>
            <w:r>
              <w:rPr>
                <w:sz w:val="24"/>
              </w:rPr>
              <w:t>项目名称</w:t>
            </w:r>
          </w:p>
        </w:tc>
        <w:tc>
          <w:tcPr>
            <w:tcW w:w="7903" w:type="dxa"/>
            <w:gridSpan w:val="8"/>
            <w:vAlign w:val="center"/>
          </w:tcPr>
          <w:p>
            <w:pPr>
              <w:snapToGrid w:val="0"/>
              <w:jc w:val="center"/>
              <w:rPr>
                <w:sz w:val="24"/>
              </w:rPr>
            </w:pPr>
            <w:r>
              <w:rPr>
                <w:rFonts w:hint="eastAsia"/>
                <w:sz w:val="24"/>
              </w:rPr>
              <w:t>岳阳市君山区中心城区旅游路片区排水工程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sz w:val="24"/>
              </w:rPr>
            </w:pPr>
            <w:r>
              <w:rPr>
                <w:sz w:val="24"/>
              </w:rPr>
              <w:t>建设单位</w:t>
            </w:r>
          </w:p>
        </w:tc>
        <w:tc>
          <w:tcPr>
            <w:tcW w:w="7903" w:type="dxa"/>
            <w:gridSpan w:val="8"/>
            <w:vAlign w:val="center"/>
          </w:tcPr>
          <w:p>
            <w:pPr>
              <w:snapToGrid w:val="0"/>
              <w:jc w:val="center"/>
              <w:rPr>
                <w:sz w:val="24"/>
              </w:rPr>
            </w:pPr>
            <w:r>
              <w:rPr>
                <w:rFonts w:hint="eastAsia"/>
                <w:sz w:val="24"/>
              </w:rPr>
              <w:t>岳阳市君山区城市建设投资有限公司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sz w:val="24"/>
              </w:rPr>
            </w:pPr>
            <w:r>
              <w:rPr>
                <w:sz w:val="24"/>
              </w:rPr>
              <w:t>法人代表</w:t>
            </w:r>
          </w:p>
        </w:tc>
        <w:tc>
          <w:tcPr>
            <w:tcW w:w="3270" w:type="dxa"/>
            <w:gridSpan w:val="2"/>
            <w:vAlign w:val="center"/>
          </w:tcPr>
          <w:p>
            <w:pPr>
              <w:snapToGrid w:val="0"/>
              <w:jc w:val="center"/>
              <w:rPr>
                <w:sz w:val="24"/>
              </w:rPr>
            </w:pPr>
            <w:r>
              <w:rPr>
                <w:sz w:val="24"/>
              </w:rPr>
              <w:t>蔡玉刚</w:t>
            </w:r>
          </w:p>
        </w:tc>
        <w:tc>
          <w:tcPr>
            <w:tcW w:w="2069" w:type="dxa"/>
            <w:gridSpan w:val="2"/>
            <w:vAlign w:val="center"/>
          </w:tcPr>
          <w:p>
            <w:pPr>
              <w:snapToGrid w:val="0"/>
              <w:jc w:val="center"/>
              <w:rPr>
                <w:sz w:val="24"/>
              </w:rPr>
            </w:pPr>
            <w:r>
              <w:rPr>
                <w:sz w:val="24"/>
              </w:rPr>
              <w:t>联 系 人</w:t>
            </w:r>
          </w:p>
        </w:tc>
        <w:tc>
          <w:tcPr>
            <w:tcW w:w="2564" w:type="dxa"/>
            <w:gridSpan w:val="4"/>
            <w:vAlign w:val="center"/>
          </w:tcPr>
          <w:p>
            <w:pPr>
              <w:snapToGrid w:val="0"/>
              <w:jc w:val="center"/>
              <w:rPr>
                <w:sz w:val="24"/>
              </w:rPr>
            </w:pPr>
            <w:r>
              <w:rPr>
                <w:rFonts w:hint="eastAsia"/>
                <w:sz w:val="24"/>
              </w:rPr>
              <w:t>岳胜</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sz w:val="24"/>
              </w:rPr>
            </w:pPr>
            <w:r>
              <w:rPr>
                <w:sz w:val="24"/>
              </w:rPr>
              <w:t>通讯地址</w:t>
            </w:r>
          </w:p>
        </w:tc>
        <w:tc>
          <w:tcPr>
            <w:tcW w:w="7903" w:type="dxa"/>
            <w:gridSpan w:val="8"/>
            <w:vAlign w:val="center"/>
          </w:tcPr>
          <w:p>
            <w:pPr>
              <w:snapToGrid w:val="0"/>
              <w:jc w:val="center"/>
              <w:rPr>
                <w:sz w:val="24"/>
              </w:rPr>
            </w:pPr>
            <w:r>
              <w:rPr>
                <w:rFonts w:hint="eastAsia"/>
                <w:sz w:val="24"/>
              </w:rPr>
              <w:t>湖南省岳阳市君山区柳林洲镇挂口居委会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sz w:val="24"/>
              </w:rPr>
            </w:pPr>
            <w:r>
              <w:rPr>
                <w:sz w:val="24"/>
              </w:rPr>
              <w:t>联系电话</w:t>
            </w:r>
          </w:p>
        </w:tc>
        <w:tc>
          <w:tcPr>
            <w:tcW w:w="2050" w:type="dxa"/>
            <w:vAlign w:val="center"/>
          </w:tcPr>
          <w:p>
            <w:pPr>
              <w:snapToGrid w:val="0"/>
              <w:jc w:val="center"/>
              <w:rPr>
                <w:rFonts w:eastAsia="宋体"/>
                <w:sz w:val="24"/>
              </w:rPr>
            </w:pPr>
            <w:r>
              <w:rPr>
                <w:rFonts w:hint="eastAsia"/>
                <w:sz w:val="24"/>
              </w:rPr>
              <w:t>15717302929</w:t>
            </w:r>
          </w:p>
        </w:tc>
        <w:tc>
          <w:tcPr>
            <w:tcW w:w="1220" w:type="dxa"/>
            <w:vAlign w:val="center"/>
          </w:tcPr>
          <w:p>
            <w:pPr>
              <w:snapToGrid w:val="0"/>
              <w:jc w:val="center"/>
              <w:rPr>
                <w:sz w:val="24"/>
              </w:rPr>
            </w:pPr>
            <w:r>
              <w:rPr>
                <w:sz w:val="24"/>
              </w:rPr>
              <w:t>传真</w:t>
            </w:r>
          </w:p>
        </w:tc>
        <w:tc>
          <w:tcPr>
            <w:tcW w:w="2069" w:type="dxa"/>
            <w:gridSpan w:val="2"/>
            <w:vAlign w:val="center"/>
          </w:tcPr>
          <w:p>
            <w:pPr>
              <w:snapToGrid w:val="0"/>
              <w:jc w:val="center"/>
              <w:rPr>
                <w:sz w:val="24"/>
              </w:rPr>
            </w:pPr>
          </w:p>
        </w:tc>
        <w:tc>
          <w:tcPr>
            <w:tcW w:w="876" w:type="dxa"/>
            <w:gridSpan w:val="2"/>
            <w:vAlign w:val="center"/>
          </w:tcPr>
          <w:p>
            <w:pPr>
              <w:snapToGrid w:val="0"/>
              <w:jc w:val="center"/>
              <w:rPr>
                <w:sz w:val="24"/>
              </w:rPr>
            </w:pPr>
            <w:r>
              <w:rPr>
                <w:sz w:val="24"/>
              </w:rPr>
              <w:t>邮政编码</w:t>
            </w:r>
          </w:p>
        </w:tc>
        <w:tc>
          <w:tcPr>
            <w:tcW w:w="1688" w:type="dxa"/>
            <w:gridSpan w:val="2"/>
            <w:vAlign w:val="center"/>
          </w:tcPr>
          <w:p>
            <w:pPr>
              <w:snapToGrid w:val="0"/>
              <w:jc w:val="center"/>
              <w:rPr>
                <w:sz w:val="24"/>
              </w:rPr>
            </w:pPr>
            <w:r>
              <w:rPr>
                <w:sz w:val="24"/>
              </w:rPr>
              <w:t>414000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05" w:hRule="atLeast"/>
          <w:jc w:val="center"/>
        </w:trPr>
        <w:tc>
          <w:tcPr>
            <w:tcW w:w="1593" w:type="dxa"/>
            <w:vAlign w:val="center"/>
          </w:tcPr>
          <w:p>
            <w:pPr>
              <w:snapToGrid w:val="0"/>
              <w:jc w:val="center"/>
              <w:rPr>
                <w:sz w:val="24"/>
              </w:rPr>
            </w:pPr>
            <w:r>
              <w:rPr>
                <w:sz w:val="24"/>
              </w:rPr>
              <w:t>建设地点</w:t>
            </w:r>
          </w:p>
        </w:tc>
        <w:tc>
          <w:tcPr>
            <w:tcW w:w="7903" w:type="dxa"/>
            <w:gridSpan w:val="8"/>
            <w:vAlign w:val="center"/>
          </w:tcPr>
          <w:p>
            <w:pPr>
              <w:snapToGrid w:val="0"/>
              <w:jc w:val="center"/>
              <w:rPr>
                <w:sz w:val="24"/>
              </w:rPr>
            </w:pPr>
            <w:r>
              <w:rPr>
                <w:rFonts w:hint="eastAsia"/>
                <w:sz w:val="24"/>
              </w:rPr>
              <w:t>岳阳市君山区光明路以西旅游路片区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54" w:hRule="atLeast"/>
          <w:jc w:val="center"/>
        </w:trPr>
        <w:tc>
          <w:tcPr>
            <w:tcW w:w="1593" w:type="dxa"/>
            <w:vAlign w:val="center"/>
          </w:tcPr>
          <w:p>
            <w:pPr>
              <w:snapToGrid w:val="0"/>
              <w:jc w:val="center"/>
              <w:rPr>
                <w:sz w:val="24"/>
              </w:rPr>
            </w:pPr>
            <w:r>
              <w:rPr>
                <w:sz w:val="24"/>
              </w:rPr>
              <w:t>立项审批部门</w:t>
            </w:r>
          </w:p>
        </w:tc>
        <w:tc>
          <w:tcPr>
            <w:tcW w:w="3772" w:type="dxa"/>
            <w:gridSpan w:val="3"/>
            <w:vAlign w:val="center"/>
          </w:tcPr>
          <w:p>
            <w:pPr>
              <w:snapToGrid w:val="0"/>
              <w:jc w:val="center"/>
              <w:rPr>
                <w:sz w:val="24"/>
              </w:rPr>
            </w:pPr>
            <w:r>
              <w:rPr>
                <w:rFonts w:hint="eastAsia"/>
                <w:sz w:val="24"/>
              </w:rPr>
              <w:t>岳阳市君山区发展改革和工业信息化局</w:t>
            </w:r>
          </w:p>
        </w:tc>
        <w:tc>
          <w:tcPr>
            <w:tcW w:w="1577" w:type="dxa"/>
            <w:gridSpan w:val="2"/>
            <w:vAlign w:val="center"/>
          </w:tcPr>
          <w:p>
            <w:pPr>
              <w:snapToGrid w:val="0"/>
              <w:jc w:val="center"/>
              <w:rPr>
                <w:sz w:val="24"/>
              </w:rPr>
            </w:pPr>
            <w:r>
              <w:rPr>
                <w:rFonts w:hint="eastAsia"/>
                <w:sz w:val="24"/>
              </w:rPr>
              <w:t>批准文号</w:t>
            </w:r>
          </w:p>
        </w:tc>
        <w:tc>
          <w:tcPr>
            <w:tcW w:w="2554" w:type="dxa"/>
            <w:gridSpan w:val="3"/>
            <w:vAlign w:val="center"/>
          </w:tcPr>
          <w:p>
            <w:pPr>
              <w:snapToGrid w:val="0"/>
              <w:jc w:val="center"/>
              <w:rPr>
                <w:sz w:val="24"/>
              </w:rPr>
            </w:pPr>
            <w:r>
              <w:rPr>
                <w:rFonts w:hint="eastAsia"/>
                <w:sz w:val="24"/>
              </w:rPr>
              <w:t>岳君发改【2016】164号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54" w:hRule="atLeast"/>
          <w:jc w:val="center"/>
        </w:trPr>
        <w:tc>
          <w:tcPr>
            <w:tcW w:w="1593" w:type="dxa"/>
            <w:vAlign w:val="center"/>
          </w:tcPr>
          <w:p>
            <w:pPr>
              <w:snapToGrid w:val="0"/>
              <w:jc w:val="center"/>
              <w:rPr>
                <w:sz w:val="24"/>
              </w:rPr>
            </w:pPr>
            <w:r>
              <w:rPr>
                <w:sz w:val="24"/>
              </w:rPr>
              <w:t>建设性质</w:t>
            </w:r>
          </w:p>
        </w:tc>
        <w:tc>
          <w:tcPr>
            <w:tcW w:w="3772" w:type="dxa"/>
            <w:gridSpan w:val="3"/>
            <w:vAlign w:val="center"/>
          </w:tcPr>
          <w:p>
            <w:pPr>
              <w:snapToGrid w:val="0"/>
              <w:jc w:val="center"/>
              <w:rPr>
                <w:sz w:val="24"/>
              </w:rPr>
            </w:pPr>
            <w:r>
              <w:rPr>
                <w:sz w:val="24"/>
              </w:rPr>
              <w:t>新建■改扩建□技改□</w:t>
            </w:r>
          </w:p>
        </w:tc>
        <w:tc>
          <w:tcPr>
            <w:tcW w:w="1577" w:type="dxa"/>
            <w:gridSpan w:val="2"/>
            <w:vAlign w:val="center"/>
          </w:tcPr>
          <w:p>
            <w:pPr>
              <w:snapToGrid w:val="0"/>
              <w:jc w:val="center"/>
              <w:rPr>
                <w:sz w:val="24"/>
              </w:rPr>
            </w:pPr>
            <w:r>
              <w:rPr>
                <w:sz w:val="24"/>
              </w:rPr>
              <w:t>行业类别</w:t>
            </w:r>
          </w:p>
          <w:p>
            <w:pPr>
              <w:snapToGrid w:val="0"/>
              <w:jc w:val="center"/>
              <w:rPr>
                <w:sz w:val="24"/>
              </w:rPr>
            </w:pPr>
            <w:r>
              <w:rPr>
                <w:sz w:val="24"/>
              </w:rPr>
              <w:t>及代号</w:t>
            </w:r>
          </w:p>
        </w:tc>
        <w:tc>
          <w:tcPr>
            <w:tcW w:w="2554" w:type="dxa"/>
            <w:gridSpan w:val="3"/>
            <w:vAlign w:val="center"/>
          </w:tcPr>
          <w:p>
            <w:pPr>
              <w:snapToGrid w:val="0"/>
              <w:jc w:val="center"/>
              <w:rPr>
                <w:sz w:val="24"/>
              </w:rPr>
            </w:pPr>
            <w:r>
              <w:rPr>
                <w:rFonts w:hint="eastAsia"/>
                <w:sz w:val="24"/>
              </w:rPr>
              <w:t>管道工程建筑</w:t>
            </w:r>
            <w:r>
              <w:rPr>
                <w:sz w:val="24"/>
              </w:rPr>
              <w:t>E4852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54" w:hRule="atLeast"/>
          <w:jc w:val="center"/>
        </w:trPr>
        <w:tc>
          <w:tcPr>
            <w:tcW w:w="1593" w:type="dxa"/>
            <w:vAlign w:val="center"/>
          </w:tcPr>
          <w:p>
            <w:pPr>
              <w:snapToGrid w:val="0"/>
              <w:jc w:val="center"/>
              <w:rPr>
                <w:sz w:val="24"/>
              </w:rPr>
            </w:pPr>
            <w:r>
              <w:rPr>
                <w:sz w:val="24"/>
              </w:rPr>
              <w:t>占地面积</w:t>
            </w:r>
          </w:p>
          <w:p>
            <w:pPr>
              <w:snapToGrid w:val="0"/>
              <w:jc w:val="center"/>
              <w:rPr>
                <w:sz w:val="24"/>
              </w:rPr>
            </w:pPr>
            <w:r>
              <w:rPr>
                <w:rFonts w:hint="eastAsia"/>
                <w:sz w:val="24"/>
              </w:rPr>
              <w:t>（</w:t>
            </w:r>
            <w:r>
              <w:rPr>
                <w:sz w:val="24"/>
              </w:rPr>
              <w:t>平方米</w:t>
            </w:r>
            <w:r>
              <w:rPr>
                <w:rFonts w:hint="eastAsia"/>
                <w:sz w:val="24"/>
              </w:rPr>
              <w:t>）</w:t>
            </w:r>
          </w:p>
        </w:tc>
        <w:tc>
          <w:tcPr>
            <w:tcW w:w="3772" w:type="dxa"/>
            <w:gridSpan w:val="3"/>
            <w:vAlign w:val="center"/>
          </w:tcPr>
          <w:p>
            <w:pPr>
              <w:snapToGrid w:val="0"/>
              <w:jc w:val="center"/>
              <w:rPr>
                <w:sz w:val="24"/>
              </w:rPr>
            </w:pPr>
            <w:r>
              <w:rPr>
                <w:rFonts w:hint="eastAsia"/>
                <w:sz w:val="24"/>
              </w:rPr>
              <w:t>/</w:t>
            </w:r>
          </w:p>
        </w:tc>
        <w:tc>
          <w:tcPr>
            <w:tcW w:w="1577" w:type="dxa"/>
            <w:gridSpan w:val="2"/>
            <w:vAlign w:val="center"/>
          </w:tcPr>
          <w:p>
            <w:pPr>
              <w:snapToGrid w:val="0"/>
              <w:ind w:left="-105" w:leftChars="-50" w:right="-105" w:rightChars="-50"/>
              <w:jc w:val="center"/>
              <w:rPr>
                <w:sz w:val="24"/>
              </w:rPr>
            </w:pPr>
            <w:r>
              <w:rPr>
                <w:sz w:val="24"/>
              </w:rPr>
              <w:t>绿化面积</w:t>
            </w:r>
          </w:p>
          <w:p>
            <w:pPr>
              <w:snapToGrid w:val="0"/>
              <w:ind w:left="-105" w:leftChars="-50" w:right="-105" w:rightChars="-50"/>
              <w:jc w:val="center"/>
              <w:rPr>
                <w:sz w:val="24"/>
              </w:rPr>
            </w:pPr>
            <w:r>
              <w:rPr>
                <w:sz w:val="24"/>
              </w:rPr>
              <w:t>（平方米）</w:t>
            </w:r>
          </w:p>
        </w:tc>
        <w:tc>
          <w:tcPr>
            <w:tcW w:w="2554" w:type="dxa"/>
            <w:gridSpan w:val="3"/>
            <w:vAlign w:val="center"/>
          </w:tcPr>
          <w:p>
            <w:pPr>
              <w:snapToGrid w:val="0"/>
              <w:ind w:left="-105" w:leftChars="-50" w:right="-105" w:rightChars="-50"/>
              <w:jc w:val="center"/>
              <w:rPr>
                <w:sz w:val="24"/>
              </w:rPr>
            </w:pPr>
            <w:r>
              <w:rPr>
                <w:rFonts w:hint="eastAsia"/>
                <w:sz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54" w:hRule="atLeast"/>
          <w:jc w:val="center"/>
        </w:trPr>
        <w:tc>
          <w:tcPr>
            <w:tcW w:w="1593" w:type="dxa"/>
            <w:vAlign w:val="center"/>
          </w:tcPr>
          <w:p>
            <w:pPr>
              <w:snapToGrid w:val="0"/>
              <w:jc w:val="center"/>
              <w:rPr>
                <w:sz w:val="24"/>
              </w:rPr>
            </w:pPr>
            <w:r>
              <w:rPr>
                <w:sz w:val="24"/>
              </w:rPr>
              <w:t>总投资</w:t>
            </w:r>
          </w:p>
          <w:p>
            <w:pPr>
              <w:snapToGrid w:val="0"/>
              <w:jc w:val="center"/>
              <w:rPr>
                <w:sz w:val="24"/>
              </w:rPr>
            </w:pPr>
            <w:r>
              <w:rPr>
                <w:rFonts w:hint="eastAsia"/>
                <w:sz w:val="24"/>
              </w:rPr>
              <w:t>（</w:t>
            </w:r>
            <w:r>
              <w:rPr>
                <w:sz w:val="24"/>
              </w:rPr>
              <w:t>万元</w:t>
            </w:r>
            <w:r>
              <w:rPr>
                <w:rFonts w:hint="eastAsia"/>
                <w:sz w:val="24"/>
              </w:rPr>
              <w:t>）</w:t>
            </w:r>
          </w:p>
        </w:tc>
        <w:tc>
          <w:tcPr>
            <w:tcW w:w="2050" w:type="dxa"/>
            <w:vAlign w:val="center"/>
          </w:tcPr>
          <w:p>
            <w:pPr>
              <w:snapToGrid w:val="0"/>
              <w:jc w:val="center"/>
              <w:rPr>
                <w:sz w:val="24"/>
              </w:rPr>
            </w:pPr>
            <w:r>
              <w:rPr>
                <w:rFonts w:hint="eastAsia"/>
                <w:sz w:val="24"/>
              </w:rPr>
              <w:t>8383.05</w:t>
            </w:r>
          </w:p>
        </w:tc>
        <w:tc>
          <w:tcPr>
            <w:tcW w:w="1722" w:type="dxa"/>
            <w:gridSpan w:val="2"/>
            <w:vAlign w:val="center"/>
          </w:tcPr>
          <w:p>
            <w:pPr>
              <w:snapToGrid w:val="0"/>
              <w:jc w:val="center"/>
              <w:rPr>
                <w:sz w:val="24"/>
              </w:rPr>
            </w:pPr>
            <w:r>
              <w:rPr>
                <w:sz w:val="24"/>
              </w:rPr>
              <w:t>其中</w:t>
            </w:r>
            <w:r>
              <w:rPr>
                <w:rFonts w:hint="eastAsia"/>
                <w:sz w:val="24"/>
              </w:rPr>
              <w:t>：</w:t>
            </w:r>
            <w:r>
              <w:rPr>
                <w:sz w:val="24"/>
              </w:rPr>
              <w:t>环保投资</w:t>
            </w:r>
            <w:r>
              <w:rPr>
                <w:rFonts w:hint="eastAsia"/>
                <w:sz w:val="24"/>
              </w:rPr>
              <w:t>（</w:t>
            </w:r>
            <w:r>
              <w:rPr>
                <w:sz w:val="24"/>
              </w:rPr>
              <w:t>万元</w:t>
            </w:r>
            <w:r>
              <w:rPr>
                <w:rFonts w:hint="eastAsia"/>
                <w:sz w:val="24"/>
              </w:rPr>
              <w:t>）</w:t>
            </w:r>
          </w:p>
        </w:tc>
        <w:tc>
          <w:tcPr>
            <w:tcW w:w="1577" w:type="dxa"/>
            <w:gridSpan w:val="2"/>
            <w:vAlign w:val="center"/>
          </w:tcPr>
          <w:p>
            <w:pPr>
              <w:snapToGrid w:val="0"/>
              <w:ind w:left="-105" w:leftChars="-50" w:right="-105" w:rightChars="-50"/>
              <w:jc w:val="center"/>
              <w:rPr>
                <w:color w:val="000000" w:themeColor="text1"/>
                <w:sz w:val="24"/>
              </w:rPr>
            </w:pPr>
            <w:r>
              <w:rPr>
                <w:rFonts w:hint="eastAsia"/>
                <w:color w:val="000000" w:themeColor="text1"/>
                <w:sz w:val="24"/>
              </w:rPr>
              <w:t>128</w:t>
            </w:r>
          </w:p>
        </w:tc>
        <w:tc>
          <w:tcPr>
            <w:tcW w:w="1379" w:type="dxa"/>
            <w:gridSpan w:val="2"/>
            <w:vAlign w:val="center"/>
          </w:tcPr>
          <w:p>
            <w:pPr>
              <w:snapToGrid w:val="0"/>
              <w:ind w:left="-105" w:leftChars="-50" w:right="-105" w:rightChars="-50"/>
              <w:jc w:val="center"/>
              <w:rPr>
                <w:color w:val="000000" w:themeColor="text1"/>
                <w:sz w:val="24"/>
              </w:rPr>
            </w:pPr>
            <w:r>
              <w:rPr>
                <w:color w:val="000000" w:themeColor="text1"/>
                <w:sz w:val="24"/>
              </w:rPr>
              <w:t>环保投资占总投资比例</w:t>
            </w:r>
          </w:p>
        </w:tc>
        <w:tc>
          <w:tcPr>
            <w:tcW w:w="1175" w:type="dxa"/>
            <w:vAlign w:val="center"/>
          </w:tcPr>
          <w:p>
            <w:pPr>
              <w:snapToGrid w:val="0"/>
              <w:ind w:left="-105" w:leftChars="-50" w:right="-105" w:rightChars="-50"/>
              <w:jc w:val="center"/>
              <w:rPr>
                <w:color w:val="000000" w:themeColor="text1"/>
                <w:sz w:val="24"/>
              </w:rPr>
            </w:pPr>
            <w:r>
              <w:rPr>
                <w:rFonts w:hint="eastAsia"/>
                <w:color w:val="000000" w:themeColor="text1"/>
                <w:sz w:val="24"/>
              </w:rPr>
              <w:t>1.53</w:t>
            </w:r>
            <w:r>
              <w:rPr>
                <w:color w:val="000000" w:themeColor="text1"/>
                <w:sz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454" w:hRule="atLeast"/>
          <w:jc w:val="center"/>
        </w:trPr>
        <w:tc>
          <w:tcPr>
            <w:tcW w:w="1593" w:type="dxa"/>
            <w:vAlign w:val="center"/>
          </w:tcPr>
          <w:p>
            <w:pPr>
              <w:snapToGrid w:val="0"/>
              <w:ind w:left="-105" w:leftChars="-50" w:right="-105" w:rightChars="-50"/>
              <w:jc w:val="center"/>
              <w:rPr>
                <w:sz w:val="24"/>
              </w:rPr>
            </w:pPr>
            <w:r>
              <w:rPr>
                <w:sz w:val="24"/>
              </w:rPr>
              <w:t>评价经费</w:t>
            </w:r>
          </w:p>
          <w:p>
            <w:pPr>
              <w:snapToGrid w:val="0"/>
              <w:ind w:left="-105" w:leftChars="-50" w:right="-105" w:rightChars="-50"/>
              <w:jc w:val="center"/>
              <w:rPr>
                <w:sz w:val="24"/>
              </w:rPr>
            </w:pPr>
            <w:r>
              <w:rPr>
                <w:rFonts w:hint="eastAsia"/>
                <w:sz w:val="24"/>
              </w:rPr>
              <w:t>（</w:t>
            </w:r>
            <w:r>
              <w:rPr>
                <w:sz w:val="24"/>
              </w:rPr>
              <w:t>万元</w:t>
            </w:r>
            <w:r>
              <w:rPr>
                <w:rFonts w:hint="eastAsia"/>
                <w:sz w:val="24"/>
              </w:rPr>
              <w:t>）</w:t>
            </w:r>
          </w:p>
        </w:tc>
        <w:tc>
          <w:tcPr>
            <w:tcW w:w="2050" w:type="dxa"/>
            <w:vAlign w:val="center"/>
          </w:tcPr>
          <w:p>
            <w:pPr>
              <w:snapToGrid w:val="0"/>
              <w:ind w:left="-105" w:leftChars="-50" w:right="-105" w:rightChars="-50"/>
              <w:jc w:val="center"/>
              <w:rPr>
                <w:sz w:val="24"/>
              </w:rPr>
            </w:pPr>
          </w:p>
        </w:tc>
        <w:tc>
          <w:tcPr>
            <w:tcW w:w="1722" w:type="dxa"/>
            <w:gridSpan w:val="2"/>
            <w:vAlign w:val="center"/>
          </w:tcPr>
          <w:p>
            <w:pPr>
              <w:snapToGrid w:val="0"/>
              <w:ind w:left="-105" w:leftChars="-50" w:right="-105" w:rightChars="-50"/>
              <w:jc w:val="center"/>
              <w:rPr>
                <w:sz w:val="24"/>
              </w:rPr>
            </w:pPr>
            <w:r>
              <w:rPr>
                <w:sz w:val="24"/>
              </w:rPr>
              <w:t>投产日期</w:t>
            </w:r>
          </w:p>
        </w:tc>
        <w:tc>
          <w:tcPr>
            <w:tcW w:w="4131" w:type="dxa"/>
            <w:gridSpan w:val="5"/>
            <w:vAlign w:val="center"/>
          </w:tcPr>
          <w:p>
            <w:pPr>
              <w:tabs>
                <w:tab w:val="left" w:pos="1213"/>
                <w:tab w:val="center" w:pos="2040"/>
              </w:tabs>
              <w:snapToGrid w:val="0"/>
              <w:ind w:left="-105" w:leftChars="-50" w:right="-105" w:rightChars="-50"/>
              <w:jc w:val="left"/>
              <w:rPr>
                <w:sz w:val="24"/>
              </w:rPr>
            </w:pPr>
            <w:r>
              <w:rPr>
                <w:rFonts w:hint="eastAsia"/>
                <w:sz w:val="24"/>
              </w:rPr>
              <w:tab/>
            </w:r>
            <w:r>
              <w:rPr>
                <w:rFonts w:hint="eastAsia"/>
                <w:sz w:val="24"/>
              </w:rPr>
              <w:t>2019年9月</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2702" w:hRule="atLeast"/>
          <w:jc w:val="center"/>
        </w:trPr>
        <w:tc>
          <w:tcPr>
            <w:tcW w:w="9496" w:type="dxa"/>
            <w:gridSpan w:val="9"/>
            <w:vAlign w:val="center"/>
          </w:tcPr>
          <w:p>
            <w:pPr>
              <w:snapToGrid w:val="0"/>
              <w:spacing w:line="520" w:lineRule="exact"/>
              <w:contextualSpacing/>
              <w:rPr>
                <w:rFonts w:ascii="宋体" w:hAnsi="宋体"/>
                <w:b/>
                <w:sz w:val="30"/>
                <w:szCs w:val="30"/>
              </w:rPr>
            </w:pPr>
            <w:r>
              <w:rPr>
                <w:rFonts w:hint="eastAsia" w:ascii="宋体" w:hAnsi="宋体"/>
                <w:b/>
                <w:sz w:val="30"/>
                <w:szCs w:val="30"/>
              </w:rPr>
              <w:t xml:space="preserve">工程内容及规模： </w:t>
            </w:r>
          </w:p>
          <w:p>
            <w:pPr>
              <w:pStyle w:val="5"/>
              <w:adjustRightInd/>
              <w:spacing w:beforeLines="0" w:line="520" w:lineRule="exact"/>
              <w:ind w:firstLine="562"/>
              <w:contextualSpacing/>
              <w:rPr>
                <w:b/>
                <w:sz w:val="28"/>
                <w:szCs w:val="28"/>
              </w:rPr>
            </w:pPr>
            <w:r>
              <w:rPr>
                <w:b/>
                <w:sz w:val="28"/>
                <w:szCs w:val="28"/>
              </w:rPr>
              <w:t>1、项目</w:t>
            </w:r>
            <w:r>
              <w:rPr>
                <w:rFonts w:hint="eastAsia"/>
                <w:b/>
                <w:sz w:val="28"/>
                <w:szCs w:val="28"/>
              </w:rPr>
              <w:t>概况</w:t>
            </w:r>
          </w:p>
          <w:p>
            <w:pPr>
              <w:pStyle w:val="5"/>
              <w:adjustRightInd/>
              <w:spacing w:beforeLines="0" w:line="520" w:lineRule="exact"/>
              <w:ind w:firstLine="482"/>
              <w:contextualSpacing/>
              <w:rPr>
                <w:b/>
              </w:rPr>
            </w:pPr>
            <w:r>
              <w:rPr>
                <w:b/>
              </w:rPr>
              <w:t>1.1、项目由来</w:t>
            </w:r>
          </w:p>
          <w:p>
            <w:pPr>
              <w:snapToGrid w:val="0"/>
              <w:spacing w:line="520" w:lineRule="exact"/>
              <w:ind w:firstLine="480" w:firstLineChars="200"/>
              <w:contextualSpacing/>
              <w:rPr>
                <w:kern w:val="0"/>
                <w:sz w:val="24"/>
                <w:szCs w:val="24"/>
              </w:rPr>
            </w:pPr>
            <w:r>
              <w:rPr>
                <w:kern w:val="0"/>
                <w:sz w:val="24"/>
                <w:szCs w:val="24"/>
              </w:rPr>
              <w:t>随着经济的发展，人民生活水平的不断提高；城镇的快速发展对城镇的</w:t>
            </w:r>
            <w:r>
              <w:rPr>
                <w:rFonts w:hint="eastAsia"/>
                <w:kern w:val="0"/>
                <w:sz w:val="24"/>
                <w:szCs w:val="24"/>
              </w:rPr>
              <w:t>排水</w:t>
            </w:r>
            <w:r>
              <w:rPr>
                <w:kern w:val="0"/>
                <w:sz w:val="24"/>
                <w:szCs w:val="24"/>
              </w:rPr>
              <w:t>管网及其配套设施的要求不断提高。而目前</w:t>
            </w:r>
            <w:r>
              <w:rPr>
                <w:rFonts w:hint="eastAsia"/>
                <w:kern w:val="0"/>
                <w:sz w:val="24"/>
                <w:szCs w:val="24"/>
              </w:rPr>
              <w:t>君山区中心城区排水管网不完善</w:t>
            </w:r>
            <w:r>
              <w:rPr>
                <w:kern w:val="0"/>
                <w:sz w:val="24"/>
                <w:szCs w:val="24"/>
              </w:rPr>
              <w:t>状态，</w:t>
            </w:r>
            <w:r>
              <w:rPr>
                <w:rFonts w:hint="eastAsia"/>
                <w:kern w:val="0"/>
                <w:sz w:val="24"/>
                <w:szCs w:val="24"/>
              </w:rPr>
              <w:t>君山区工业企业以食品加工、印刷包装、机械电子等为主，工业污染治理水平有待提高，水资源利用率较低，导致废水排放量大，已超过目前排水管网的排水负荷，君山区中心城区有相当部分工业废水和生活污水直接排入濠河，影响濠河的水质，进而影响下游的濠河城市湿地保护区的水环境。</w:t>
            </w:r>
            <w:r>
              <w:rPr>
                <w:kern w:val="0"/>
                <w:sz w:val="24"/>
                <w:szCs w:val="24"/>
              </w:rPr>
              <w:t>为满足</w:t>
            </w:r>
            <w:r>
              <w:rPr>
                <w:rFonts w:hint="eastAsia"/>
                <w:kern w:val="0"/>
                <w:sz w:val="24"/>
                <w:szCs w:val="24"/>
              </w:rPr>
              <w:t>君山区中心城区</w:t>
            </w:r>
            <w:r>
              <w:rPr>
                <w:kern w:val="0"/>
                <w:sz w:val="24"/>
                <w:szCs w:val="24"/>
              </w:rPr>
              <w:t>快速发展的需要及改善当地水环境的要求，</w:t>
            </w:r>
            <w:r>
              <w:rPr>
                <w:rFonts w:hint="eastAsia"/>
                <w:kern w:val="0"/>
                <w:sz w:val="24"/>
                <w:szCs w:val="24"/>
              </w:rPr>
              <w:t>岳阳市君山区城市建设投资有限公司</w:t>
            </w:r>
            <w:r>
              <w:rPr>
                <w:kern w:val="0"/>
                <w:sz w:val="24"/>
                <w:szCs w:val="24"/>
              </w:rPr>
              <w:t>决定建设</w:t>
            </w:r>
            <w:r>
              <w:rPr>
                <w:rFonts w:hint="eastAsia"/>
                <w:sz w:val="24"/>
              </w:rPr>
              <w:t>岳阳市君山区中心城区旅游路片区排水工程</w:t>
            </w:r>
            <w:r>
              <w:rPr>
                <w:kern w:val="0"/>
                <w:sz w:val="24"/>
                <w:szCs w:val="24"/>
              </w:rPr>
              <w:t>，</w:t>
            </w:r>
            <w:r>
              <w:rPr>
                <w:rFonts w:hint="eastAsia"/>
                <w:kern w:val="0"/>
                <w:sz w:val="24"/>
                <w:szCs w:val="24"/>
              </w:rPr>
              <w:t>包括</w:t>
            </w:r>
            <w:r>
              <w:rPr>
                <w:kern w:val="0"/>
                <w:sz w:val="24"/>
                <w:szCs w:val="24"/>
              </w:rPr>
              <w:t>管道</w:t>
            </w:r>
            <w:r>
              <w:rPr>
                <w:rFonts w:hint="eastAsia"/>
                <w:kern w:val="0"/>
                <w:sz w:val="24"/>
                <w:szCs w:val="24"/>
              </w:rPr>
              <w:t>长度为30430</w:t>
            </w:r>
            <w:r>
              <w:rPr>
                <w:kern w:val="0"/>
                <w:sz w:val="24"/>
                <w:szCs w:val="24"/>
              </w:rPr>
              <w:t>m。项目的建设有利于改善</w:t>
            </w:r>
            <w:r>
              <w:rPr>
                <w:rFonts w:hint="eastAsia"/>
                <w:kern w:val="0"/>
                <w:sz w:val="24"/>
                <w:szCs w:val="24"/>
              </w:rPr>
              <w:t>君山区中心城区</w:t>
            </w:r>
            <w:r>
              <w:rPr>
                <w:kern w:val="0"/>
                <w:sz w:val="24"/>
                <w:szCs w:val="24"/>
              </w:rPr>
              <w:t>内水环境质量，改善了当地居民的生活环境及幸福指数，也促进了</w:t>
            </w:r>
            <w:r>
              <w:rPr>
                <w:rFonts w:hint="eastAsia"/>
                <w:kern w:val="0"/>
                <w:sz w:val="24"/>
                <w:szCs w:val="24"/>
              </w:rPr>
              <w:t>君山区柳林洲街道</w:t>
            </w:r>
            <w:r>
              <w:rPr>
                <w:kern w:val="0"/>
                <w:sz w:val="24"/>
                <w:szCs w:val="24"/>
              </w:rPr>
              <w:t>总体经济的发展。根据《</w:t>
            </w:r>
            <w:r>
              <w:rPr>
                <w:rFonts w:hint="eastAsia"/>
                <w:kern w:val="0"/>
                <w:sz w:val="24"/>
                <w:szCs w:val="24"/>
              </w:rPr>
              <w:t>君山</w:t>
            </w:r>
            <w:r>
              <w:rPr>
                <w:kern w:val="0"/>
                <w:sz w:val="24"/>
                <w:szCs w:val="24"/>
              </w:rPr>
              <w:t>区</w:t>
            </w:r>
            <w:r>
              <w:rPr>
                <w:rFonts w:hint="eastAsia"/>
                <w:kern w:val="0"/>
                <w:sz w:val="24"/>
                <w:szCs w:val="24"/>
              </w:rPr>
              <w:t>柳林洲镇</w:t>
            </w:r>
            <w:r>
              <w:rPr>
                <w:kern w:val="0"/>
                <w:sz w:val="24"/>
                <w:szCs w:val="24"/>
              </w:rPr>
              <w:t>镇区排水专项规划》，</w:t>
            </w:r>
            <w:r>
              <w:rPr>
                <w:rFonts w:hint="eastAsia"/>
                <w:kern w:val="0"/>
                <w:sz w:val="24"/>
                <w:szCs w:val="24"/>
              </w:rPr>
              <w:t>君山区中心城区</w:t>
            </w:r>
            <w:r>
              <w:rPr>
                <w:kern w:val="0"/>
                <w:sz w:val="24"/>
                <w:szCs w:val="24"/>
              </w:rPr>
              <w:t>排水系统采取雨污分流制。目前集镇已经敷设的DN500</w:t>
            </w:r>
            <w:r>
              <w:rPr>
                <w:rFonts w:hint="eastAsia"/>
                <w:kern w:val="0"/>
                <w:sz w:val="24"/>
                <w:szCs w:val="24"/>
              </w:rPr>
              <w:t>~</w:t>
            </w:r>
            <w:r>
              <w:rPr>
                <w:kern w:val="0"/>
                <w:sz w:val="24"/>
                <w:szCs w:val="24"/>
              </w:rPr>
              <w:t>DN600的管道</w:t>
            </w:r>
            <w:r>
              <w:rPr>
                <w:rFonts w:hint="eastAsia"/>
                <w:kern w:val="0"/>
                <w:sz w:val="24"/>
                <w:szCs w:val="24"/>
              </w:rPr>
              <w:t>且已建设</w:t>
            </w:r>
            <w:r>
              <w:rPr>
                <w:rFonts w:hint="eastAsia"/>
                <w:sz w:val="24"/>
              </w:rPr>
              <w:t>君山区中心城区排水设施建设项目（一期）</w:t>
            </w:r>
            <w:r>
              <w:rPr>
                <w:kern w:val="0"/>
                <w:sz w:val="24"/>
                <w:szCs w:val="24"/>
              </w:rPr>
              <w:t>，规划保留用作雨水管道，其他区域雨水排入附近沟渠。本项目建设管道为</w:t>
            </w:r>
            <w:r>
              <w:rPr>
                <w:rFonts w:hint="eastAsia"/>
                <w:kern w:val="0"/>
                <w:sz w:val="24"/>
                <w:szCs w:val="24"/>
              </w:rPr>
              <w:t>排入</w:t>
            </w:r>
            <w:r>
              <w:rPr>
                <w:kern w:val="0"/>
                <w:sz w:val="24"/>
                <w:szCs w:val="24"/>
              </w:rPr>
              <w:t>管道建设，主要承担收集</w:t>
            </w:r>
            <w:r>
              <w:rPr>
                <w:rFonts w:hint="eastAsia"/>
                <w:kern w:val="0"/>
                <w:sz w:val="24"/>
                <w:szCs w:val="24"/>
              </w:rPr>
              <w:t>君山区</w:t>
            </w:r>
            <w:r>
              <w:rPr>
                <w:kern w:val="0"/>
                <w:sz w:val="24"/>
                <w:szCs w:val="24"/>
              </w:rPr>
              <w:t>居民生活污水</w:t>
            </w:r>
            <w:r>
              <w:rPr>
                <w:rFonts w:hint="eastAsia"/>
                <w:kern w:val="0"/>
                <w:sz w:val="24"/>
                <w:szCs w:val="24"/>
              </w:rPr>
              <w:t>和工业废水</w:t>
            </w:r>
            <w:r>
              <w:rPr>
                <w:kern w:val="0"/>
                <w:sz w:val="24"/>
                <w:szCs w:val="24"/>
              </w:rPr>
              <w:t>功能。</w:t>
            </w:r>
          </w:p>
          <w:p>
            <w:pPr>
              <w:snapToGrid w:val="0"/>
              <w:spacing w:line="520" w:lineRule="exact"/>
              <w:ind w:firstLine="480" w:firstLineChars="200"/>
              <w:contextualSpacing/>
              <w:rPr>
                <w:kern w:val="0"/>
                <w:sz w:val="24"/>
                <w:szCs w:val="24"/>
              </w:rPr>
            </w:pPr>
            <w:r>
              <w:rPr>
                <w:kern w:val="0"/>
                <w:sz w:val="24"/>
                <w:szCs w:val="24"/>
              </w:rPr>
              <w:t>根据中华人民共和国环境影响保护法和国务院令第682号文《建设项目环境保护管理条例》的要求，本项目应进行环境影响评价。根据《建设项目环境影响评价分类管理名录》（201</w:t>
            </w:r>
            <w:r>
              <w:rPr>
                <w:rFonts w:hint="eastAsia"/>
                <w:kern w:val="0"/>
                <w:sz w:val="24"/>
                <w:szCs w:val="24"/>
                <w:lang w:val="en-US" w:eastAsia="zh-CN"/>
              </w:rPr>
              <w:t>8.4.28</w:t>
            </w:r>
            <w:r>
              <w:rPr>
                <w:kern w:val="0"/>
                <w:sz w:val="24"/>
                <w:szCs w:val="24"/>
              </w:rPr>
              <w:t>）的规定，项目属</w:t>
            </w:r>
            <w:r>
              <w:rPr>
                <w:rFonts w:hint="eastAsia"/>
                <w:kern w:val="0"/>
                <w:sz w:val="24"/>
                <w:szCs w:val="24"/>
              </w:rPr>
              <w:t>49交通运输业、管道运输业和仓储业</w:t>
            </w:r>
            <w:r>
              <w:rPr>
                <w:kern w:val="0"/>
                <w:sz w:val="24"/>
                <w:szCs w:val="24"/>
              </w:rPr>
              <w:t>中的</w:t>
            </w:r>
            <w:r>
              <w:rPr>
                <w:rFonts w:hint="eastAsia"/>
                <w:kern w:val="0"/>
                <w:sz w:val="24"/>
                <w:szCs w:val="24"/>
              </w:rPr>
              <w:t>175小类城镇管网及管廊建设（不含1.6兆帕及以下的天然气管道），新建管道</w:t>
            </w:r>
            <w:r>
              <w:rPr>
                <w:kern w:val="0"/>
                <w:sz w:val="24"/>
                <w:szCs w:val="24"/>
              </w:rPr>
              <w:t>编制环境影响报告表。因此，本项目应编制环境影响报告表。为此，君山区城市建设投资有限公司特委托广西新北环环保科技有限公司（以下简称我公司）承担本项目环境影响评价工作，我</w:t>
            </w:r>
            <w:r>
              <w:rPr>
                <w:rFonts w:hint="eastAsia"/>
                <w:kern w:val="0"/>
                <w:sz w:val="24"/>
                <w:szCs w:val="24"/>
              </w:rPr>
              <w:t>公司</w:t>
            </w:r>
            <w:r>
              <w:rPr>
                <w:kern w:val="0"/>
                <w:sz w:val="24"/>
                <w:szCs w:val="24"/>
              </w:rPr>
              <w:t>接收委托后，对项目进行了现场踏勘和资料收集，在工程分析及影响分析的基础上，按相关技术规范编制本项目环境影响报告表。</w:t>
            </w:r>
          </w:p>
          <w:p>
            <w:pPr>
              <w:pStyle w:val="5"/>
              <w:adjustRightInd/>
              <w:spacing w:beforeLines="0" w:line="520" w:lineRule="exact"/>
              <w:ind w:firstLine="482"/>
              <w:contextualSpacing/>
              <w:rPr>
                <w:b/>
              </w:rPr>
            </w:pPr>
            <w:r>
              <w:rPr>
                <w:b/>
              </w:rPr>
              <w:t>1.2、项目建设必要性</w:t>
            </w:r>
          </w:p>
          <w:p>
            <w:pPr>
              <w:snapToGrid w:val="0"/>
              <w:spacing w:line="520" w:lineRule="exact"/>
              <w:ind w:firstLine="480" w:firstLineChars="200"/>
              <w:contextualSpacing/>
              <w:rPr>
                <w:kern w:val="0"/>
                <w:sz w:val="24"/>
                <w:szCs w:val="24"/>
              </w:rPr>
            </w:pPr>
            <w:r>
              <w:rPr>
                <w:kern w:val="0"/>
                <w:sz w:val="24"/>
                <w:szCs w:val="24"/>
              </w:rPr>
              <w:t>（1）项目</w:t>
            </w:r>
            <w:r>
              <w:rPr>
                <w:rFonts w:hint="eastAsia"/>
                <w:kern w:val="0"/>
                <w:sz w:val="24"/>
                <w:szCs w:val="24"/>
              </w:rPr>
              <w:t>符合</w:t>
            </w:r>
            <w:r>
              <w:rPr>
                <w:kern w:val="0"/>
                <w:sz w:val="24"/>
                <w:szCs w:val="24"/>
              </w:rPr>
              <w:t>国家政策法规，有利于保护当地水资源</w:t>
            </w:r>
          </w:p>
          <w:p>
            <w:pPr>
              <w:snapToGrid w:val="0"/>
              <w:spacing w:line="520" w:lineRule="exact"/>
              <w:ind w:firstLine="480" w:firstLineChars="200"/>
              <w:contextualSpacing/>
              <w:rPr>
                <w:kern w:val="0"/>
                <w:sz w:val="24"/>
                <w:szCs w:val="24"/>
              </w:rPr>
            </w:pPr>
            <w:r>
              <w:rPr>
                <w:kern w:val="0"/>
                <w:sz w:val="24"/>
                <w:szCs w:val="24"/>
              </w:rPr>
              <w:t>君山</w:t>
            </w:r>
            <w:r>
              <w:rPr>
                <w:rFonts w:hint="eastAsia"/>
                <w:kern w:val="0"/>
                <w:sz w:val="24"/>
                <w:szCs w:val="24"/>
              </w:rPr>
              <w:t>区</w:t>
            </w:r>
            <w:r>
              <w:rPr>
                <w:kern w:val="0"/>
                <w:sz w:val="24"/>
                <w:szCs w:val="24"/>
              </w:rPr>
              <w:t>中心城区目前的排水体制大部分为雨、污合流制。由于配套管网设施不完善，目前君山区中心城区有相当部分工业</w:t>
            </w:r>
            <w:r>
              <w:rPr>
                <w:rFonts w:hint="eastAsia"/>
                <w:kern w:val="0"/>
                <w:sz w:val="24"/>
                <w:szCs w:val="24"/>
              </w:rPr>
              <w:t>废水</w:t>
            </w:r>
            <w:r>
              <w:rPr>
                <w:kern w:val="0"/>
                <w:sz w:val="24"/>
                <w:szCs w:val="24"/>
              </w:rPr>
              <w:t>和生活</w:t>
            </w:r>
            <w:r>
              <w:rPr>
                <w:rFonts w:hint="eastAsia"/>
                <w:kern w:val="0"/>
                <w:sz w:val="24"/>
                <w:szCs w:val="24"/>
              </w:rPr>
              <w:t>污水</w:t>
            </w:r>
            <w:r>
              <w:rPr>
                <w:kern w:val="0"/>
                <w:sz w:val="24"/>
                <w:szCs w:val="24"/>
              </w:rPr>
              <w:t>直接排入濠河，从而污染濠河水质，进而影响下游的濠河城市湿地保护区的水环境。 </w:t>
            </w:r>
          </w:p>
          <w:p>
            <w:pPr>
              <w:snapToGrid w:val="0"/>
              <w:spacing w:line="520" w:lineRule="exact"/>
              <w:ind w:firstLine="480" w:firstLineChars="200"/>
              <w:contextualSpacing/>
              <w:rPr>
                <w:kern w:val="0"/>
                <w:sz w:val="24"/>
                <w:szCs w:val="24"/>
              </w:rPr>
            </w:pPr>
            <w:r>
              <w:rPr>
                <w:kern w:val="0"/>
                <w:sz w:val="24"/>
                <w:szCs w:val="24"/>
              </w:rPr>
              <w:t>随着社会经济的发展及君山区中心城区的人员</w:t>
            </w:r>
            <w:r>
              <w:rPr>
                <w:rFonts w:hint="eastAsia"/>
                <w:kern w:val="0"/>
                <w:sz w:val="24"/>
                <w:szCs w:val="24"/>
              </w:rPr>
              <w:t>不断</w:t>
            </w:r>
            <w:r>
              <w:rPr>
                <w:kern w:val="0"/>
                <w:sz w:val="24"/>
                <w:szCs w:val="24"/>
              </w:rPr>
              <w:t>增加，可见君山区中心城区今后</w:t>
            </w:r>
            <w:r>
              <w:rPr>
                <w:rFonts w:hint="eastAsia"/>
                <w:kern w:val="0"/>
                <w:sz w:val="24"/>
                <w:szCs w:val="24"/>
              </w:rPr>
              <w:t>废</w:t>
            </w:r>
            <w:r>
              <w:rPr>
                <w:kern w:val="0"/>
                <w:sz w:val="24"/>
                <w:szCs w:val="24"/>
              </w:rPr>
              <w:t>水排放量将会逐年增加，如果排水设施不增加，将会有更多的废水直接排入</w:t>
            </w:r>
            <w:r>
              <w:rPr>
                <w:rFonts w:hint="eastAsia"/>
                <w:kern w:val="0"/>
                <w:sz w:val="24"/>
                <w:szCs w:val="24"/>
              </w:rPr>
              <w:t>濠河</w:t>
            </w:r>
            <w:r>
              <w:rPr>
                <w:kern w:val="0"/>
                <w:sz w:val="24"/>
                <w:szCs w:val="24"/>
              </w:rPr>
              <w:t>，</w:t>
            </w:r>
            <w:r>
              <w:rPr>
                <w:rFonts w:hint="eastAsia"/>
                <w:kern w:val="0"/>
                <w:sz w:val="24"/>
                <w:szCs w:val="24"/>
              </w:rPr>
              <w:t>濠河</w:t>
            </w:r>
            <w:r>
              <w:rPr>
                <w:kern w:val="0"/>
                <w:sz w:val="24"/>
                <w:szCs w:val="24"/>
              </w:rPr>
              <w:t>污染日趋严重，将一方面直接影响君山区的投资环境、居民正常</w:t>
            </w:r>
            <w:r>
              <w:rPr>
                <w:rFonts w:hint="eastAsia"/>
                <w:kern w:val="0"/>
                <w:sz w:val="24"/>
                <w:szCs w:val="24"/>
              </w:rPr>
              <w:t>的</w:t>
            </w:r>
            <w:r>
              <w:rPr>
                <w:kern w:val="0"/>
                <w:sz w:val="24"/>
                <w:szCs w:val="24"/>
              </w:rPr>
              <w:t>生活工作环境，同时制约其社会经济的发展；另一方面影响濠河水质和濠河城市湿地保护区的建设。</w:t>
            </w:r>
          </w:p>
          <w:p>
            <w:pPr>
              <w:snapToGrid w:val="0"/>
              <w:spacing w:line="520" w:lineRule="exact"/>
              <w:ind w:firstLine="480" w:firstLineChars="200"/>
              <w:contextualSpacing/>
              <w:rPr>
                <w:kern w:val="0"/>
                <w:sz w:val="24"/>
                <w:szCs w:val="24"/>
              </w:rPr>
            </w:pPr>
            <w:r>
              <w:rPr>
                <w:rFonts w:hint="eastAsia"/>
                <w:kern w:val="0"/>
                <w:sz w:val="24"/>
                <w:szCs w:val="24"/>
              </w:rPr>
              <w:t>（2）项目的建设有利于地方的发展</w:t>
            </w:r>
          </w:p>
          <w:p>
            <w:pPr>
              <w:snapToGrid w:val="0"/>
              <w:spacing w:line="520" w:lineRule="exact"/>
              <w:ind w:firstLine="480" w:firstLineChars="200"/>
              <w:contextualSpacing/>
              <w:rPr>
                <w:kern w:val="0"/>
                <w:sz w:val="24"/>
                <w:szCs w:val="24"/>
              </w:rPr>
            </w:pPr>
            <w:r>
              <w:rPr>
                <w:rFonts w:hint="eastAsia"/>
                <w:kern w:val="0"/>
                <w:sz w:val="24"/>
                <w:szCs w:val="24"/>
              </w:rPr>
              <w:t>近年来，随着工业化进程的加快，君山区中心城区人口规模的快速扩张，工业废水和生活污水已经成为环境主要污染物之一，这也导致了废水排放量越来越大，水污染情况也越来越严重，生态环境保护压力日益加大，完善排水设施建设势在必行、迫在眉睫。本项目加快完善排水设施建设，将君山区中心城区建设与排水治理相结合，力争青山共蓝天一色，经济与生态齐飞，能够为当地生态经济带来一个看得见的良性循环，为当地经济的发展提供条件。</w:t>
            </w:r>
          </w:p>
          <w:p>
            <w:pPr>
              <w:snapToGrid w:val="0"/>
              <w:spacing w:line="520" w:lineRule="exact"/>
              <w:ind w:firstLine="480" w:firstLineChars="200"/>
              <w:contextualSpacing/>
              <w:rPr>
                <w:kern w:val="0"/>
                <w:sz w:val="24"/>
                <w:szCs w:val="24"/>
              </w:rPr>
            </w:pPr>
            <w:r>
              <w:rPr>
                <w:rFonts w:hint="eastAsia"/>
                <w:kern w:val="0"/>
                <w:sz w:val="24"/>
                <w:szCs w:val="24"/>
              </w:rPr>
              <w:t>（3）项目的建设有利于进一步完善环境建设</w:t>
            </w:r>
          </w:p>
          <w:p>
            <w:pPr>
              <w:snapToGrid w:val="0"/>
              <w:spacing w:line="520" w:lineRule="exact"/>
              <w:ind w:firstLine="480" w:firstLineChars="200"/>
              <w:contextualSpacing/>
              <w:rPr>
                <w:kern w:val="0"/>
                <w:sz w:val="24"/>
                <w:szCs w:val="24"/>
              </w:rPr>
            </w:pPr>
            <w:r>
              <w:rPr>
                <w:rFonts w:hint="eastAsia"/>
                <w:kern w:val="0"/>
                <w:sz w:val="24"/>
                <w:szCs w:val="24"/>
              </w:rPr>
              <w:t>长期以来，由于排水设施不完善，排水收集处理能力受到很大限制，大量生产废水和生活污水未经处理直接排入濠河，导致濠河水质下降，对生态环境产生不良影响。进一步完善君山区中心城区排水设施建设项目，能够解决部分废水直接排放的问题。</w:t>
            </w:r>
          </w:p>
          <w:p>
            <w:pPr>
              <w:snapToGrid w:val="0"/>
              <w:spacing w:line="520" w:lineRule="exact"/>
              <w:ind w:firstLine="480" w:firstLineChars="200"/>
              <w:contextualSpacing/>
              <w:rPr>
                <w:kern w:val="0"/>
                <w:sz w:val="24"/>
                <w:szCs w:val="24"/>
              </w:rPr>
            </w:pPr>
            <w:r>
              <w:rPr>
                <w:rFonts w:hint="eastAsia"/>
                <w:kern w:val="0"/>
                <w:sz w:val="24"/>
                <w:szCs w:val="24"/>
              </w:rPr>
              <w:t>（4）项目的建设有利于充分发挥污水处理厂的功能</w:t>
            </w:r>
          </w:p>
          <w:p>
            <w:pPr>
              <w:snapToGrid w:val="0"/>
              <w:spacing w:line="520" w:lineRule="exact"/>
              <w:ind w:firstLine="480" w:firstLineChars="200"/>
              <w:contextualSpacing/>
              <w:rPr>
                <w:kern w:val="0"/>
                <w:sz w:val="24"/>
                <w:szCs w:val="24"/>
              </w:rPr>
            </w:pPr>
            <w:r>
              <w:rPr>
                <w:rFonts w:hint="eastAsia"/>
                <w:kern w:val="0"/>
                <w:sz w:val="24"/>
                <w:szCs w:val="24"/>
              </w:rPr>
              <w:t>君山区污水处理一厂污水处理量不足，效益未能得到充分发挥，为充分发挥污水中心的功能，必须尽快完善君山区中心城区排水设施建设项目，君山区中心城区今后污水排放量将会逐年增加，如果排水设施不增加，将会有更多的废水直接排入濠河，濠河污染日趋严重，将直接影响君山区的投资环境和居民正常生活、工作环境，制约其社会经济的发展。</w:t>
            </w:r>
          </w:p>
          <w:p>
            <w:pPr>
              <w:pStyle w:val="5"/>
              <w:adjustRightInd/>
              <w:spacing w:beforeLines="0" w:line="520" w:lineRule="exact"/>
              <w:ind w:firstLine="562"/>
              <w:contextualSpacing/>
              <w:rPr>
                <w:b/>
                <w:sz w:val="28"/>
                <w:szCs w:val="28"/>
              </w:rPr>
            </w:pPr>
            <w:r>
              <w:rPr>
                <w:b/>
                <w:sz w:val="28"/>
                <w:szCs w:val="28"/>
              </w:rPr>
              <w:t>2、工程建设主要内容</w:t>
            </w:r>
          </w:p>
          <w:p>
            <w:pPr>
              <w:pStyle w:val="5"/>
              <w:adjustRightInd/>
              <w:spacing w:beforeLines="0" w:line="520" w:lineRule="exact"/>
              <w:ind w:firstLine="482"/>
              <w:contextualSpacing/>
              <w:rPr>
                <w:b/>
              </w:rPr>
            </w:pPr>
            <w:r>
              <w:rPr>
                <w:b/>
              </w:rPr>
              <w:t>2.1、工程建设主要内容</w:t>
            </w:r>
            <w:r>
              <w:rPr>
                <w:rFonts w:hint="eastAsia"/>
                <w:b/>
              </w:rPr>
              <w:t>及规模</w:t>
            </w:r>
          </w:p>
          <w:p>
            <w:pPr>
              <w:snapToGrid w:val="0"/>
              <w:spacing w:line="520" w:lineRule="exact"/>
              <w:ind w:firstLine="480" w:firstLineChars="200"/>
              <w:contextualSpacing/>
              <w:rPr>
                <w:kern w:val="0"/>
                <w:sz w:val="24"/>
                <w:szCs w:val="24"/>
              </w:rPr>
            </w:pPr>
            <w:r>
              <w:rPr>
                <w:kern w:val="0"/>
                <w:sz w:val="24"/>
                <w:szCs w:val="24"/>
              </w:rPr>
              <w:t>本项目为</w:t>
            </w:r>
            <w:r>
              <w:rPr>
                <w:rFonts w:hint="eastAsia"/>
                <w:sz w:val="24"/>
              </w:rPr>
              <w:t>岳阳市君山区中心城区旅游路片区排水工程</w:t>
            </w:r>
            <w:r>
              <w:rPr>
                <w:rFonts w:hint="eastAsia"/>
                <w:kern w:val="0"/>
                <w:sz w:val="24"/>
                <w:szCs w:val="24"/>
              </w:rPr>
              <w:t>，建设内容主要为排水管网，项目水体利用重力流排出。具体建设内容如下：</w:t>
            </w:r>
          </w:p>
          <w:p>
            <w:pPr>
              <w:snapToGrid w:val="0"/>
              <w:spacing w:line="520" w:lineRule="exact"/>
              <w:ind w:firstLine="480" w:firstLineChars="200"/>
              <w:contextualSpacing/>
              <w:rPr>
                <w:kern w:val="0"/>
                <w:sz w:val="24"/>
                <w:szCs w:val="24"/>
              </w:rPr>
            </w:pPr>
            <w:r>
              <w:rPr>
                <w:kern w:val="0"/>
                <w:sz w:val="24"/>
                <w:szCs w:val="24"/>
              </w:rPr>
              <w:t>君山区中心城区排水</w:t>
            </w:r>
            <w:r>
              <w:rPr>
                <w:rFonts w:hint="eastAsia"/>
                <w:kern w:val="0"/>
                <w:sz w:val="24"/>
                <w:szCs w:val="24"/>
              </w:rPr>
              <w:t>管网主要沿旅游路铺设，</w:t>
            </w:r>
            <w:r>
              <w:rPr>
                <w:kern w:val="0"/>
                <w:sz w:val="24"/>
                <w:szCs w:val="24"/>
              </w:rPr>
              <w:t>排水管网总计</w:t>
            </w:r>
            <w:r>
              <w:rPr>
                <w:rFonts w:hint="eastAsia"/>
                <w:kern w:val="0"/>
                <w:sz w:val="24"/>
                <w:szCs w:val="24"/>
              </w:rPr>
              <w:t>30430</w:t>
            </w:r>
            <w:r>
              <w:rPr>
                <w:kern w:val="0"/>
                <w:sz w:val="24"/>
                <w:szCs w:val="24"/>
              </w:rPr>
              <w:t>m，</w:t>
            </w:r>
            <w:r>
              <w:rPr>
                <w:rFonts w:hint="eastAsia"/>
                <w:kern w:val="0"/>
                <w:sz w:val="24"/>
                <w:szCs w:val="24"/>
              </w:rPr>
              <w:t>污水管道总长为16425m，其中</w:t>
            </w:r>
            <w:r>
              <w:rPr>
                <w:kern w:val="0"/>
                <w:sz w:val="24"/>
                <w:szCs w:val="24"/>
              </w:rPr>
              <w:t>支管型号为</w:t>
            </w:r>
            <w:r>
              <w:rPr>
                <w:rFonts w:hint="eastAsia"/>
                <w:kern w:val="0"/>
                <w:sz w:val="24"/>
                <w:szCs w:val="24"/>
              </w:rPr>
              <w:t>DN800、DN500</w:t>
            </w:r>
            <w:r>
              <w:rPr>
                <w:kern w:val="0"/>
                <w:sz w:val="24"/>
                <w:szCs w:val="24"/>
              </w:rPr>
              <w:t>，长度</w:t>
            </w:r>
            <w:r>
              <w:rPr>
                <w:rFonts w:hint="eastAsia"/>
                <w:kern w:val="0"/>
                <w:sz w:val="24"/>
                <w:szCs w:val="24"/>
              </w:rPr>
              <w:t>分别</w:t>
            </w:r>
            <w:r>
              <w:rPr>
                <w:kern w:val="0"/>
                <w:sz w:val="24"/>
                <w:szCs w:val="24"/>
              </w:rPr>
              <w:t>为</w:t>
            </w:r>
            <w:r>
              <w:rPr>
                <w:rFonts w:hint="eastAsia"/>
                <w:kern w:val="0"/>
                <w:sz w:val="24"/>
                <w:szCs w:val="24"/>
              </w:rPr>
              <w:t>3880</w:t>
            </w:r>
            <w:r>
              <w:rPr>
                <w:kern w:val="0"/>
                <w:sz w:val="24"/>
                <w:szCs w:val="24"/>
              </w:rPr>
              <w:t>m</w:t>
            </w:r>
            <w:r>
              <w:rPr>
                <w:rFonts w:hint="eastAsia"/>
                <w:kern w:val="0"/>
                <w:sz w:val="24"/>
                <w:szCs w:val="24"/>
              </w:rPr>
              <w:t>、4527m</w:t>
            </w:r>
            <w:r>
              <w:rPr>
                <w:kern w:val="0"/>
                <w:sz w:val="24"/>
                <w:szCs w:val="24"/>
              </w:rPr>
              <w:t>；</w:t>
            </w:r>
            <w:r>
              <w:rPr>
                <w:rFonts w:hint="eastAsia"/>
                <w:kern w:val="0"/>
                <w:sz w:val="24"/>
                <w:szCs w:val="24"/>
              </w:rPr>
              <w:t>雨水管道总长度为14008m，其中</w:t>
            </w:r>
            <w:r>
              <w:rPr>
                <w:kern w:val="0"/>
                <w:sz w:val="24"/>
                <w:szCs w:val="24"/>
              </w:rPr>
              <w:t>支管型号为</w:t>
            </w:r>
            <w:r>
              <w:rPr>
                <w:rFonts w:hint="eastAsia"/>
                <w:kern w:val="0"/>
                <w:sz w:val="24"/>
                <w:szCs w:val="24"/>
              </w:rPr>
              <w:t>DN1000、DN1200、DN1400</w:t>
            </w:r>
            <w:r>
              <w:rPr>
                <w:kern w:val="0"/>
                <w:sz w:val="24"/>
                <w:szCs w:val="24"/>
              </w:rPr>
              <w:t>，长度</w:t>
            </w:r>
            <w:r>
              <w:rPr>
                <w:rFonts w:hint="eastAsia"/>
                <w:kern w:val="0"/>
                <w:sz w:val="24"/>
                <w:szCs w:val="24"/>
              </w:rPr>
              <w:t>分别</w:t>
            </w:r>
            <w:r>
              <w:rPr>
                <w:kern w:val="0"/>
                <w:sz w:val="24"/>
                <w:szCs w:val="24"/>
              </w:rPr>
              <w:t>为</w:t>
            </w:r>
            <w:r>
              <w:rPr>
                <w:rFonts w:hint="eastAsia"/>
                <w:kern w:val="0"/>
                <w:sz w:val="24"/>
                <w:szCs w:val="24"/>
              </w:rPr>
              <w:t>9534</w:t>
            </w:r>
            <w:r>
              <w:rPr>
                <w:kern w:val="0"/>
                <w:sz w:val="24"/>
                <w:szCs w:val="24"/>
              </w:rPr>
              <w:t>m</w:t>
            </w:r>
            <w:r>
              <w:rPr>
                <w:rFonts w:hint="eastAsia"/>
                <w:kern w:val="0"/>
                <w:sz w:val="24"/>
                <w:szCs w:val="24"/>
              </w:rPr>
              <w:t>、2790m、1684m</w:t>
            </w:r>
            <w:r>
              <w:rPr>
                <w:kern w:val="0"/>
                <w:sz w:val="24"/>
                <w:szCs w:val="24"/>
              </w:rPr>
              <w:t>。</w:t>
            </w:r>
            <w:r>
              <w:rPr>
                <w:rFonts w:hint="eastAsia"/>
                <w:kern w:val="0"/>
                <w:sz w:val="24"/>
                <w:szCs w:val="24"/>
              </w:rPr>
              <w:t>采用钢筋混凝土管，施工方式主要采用开挖施工，环评要求建设单位对光明路以西旅游路片区排水管网统一规模，避免二次开挖。管网</w:t>
            </w:r>
            <w:r>
              <w:rPr>
                <w:kern w:val="0"/>
                <w:sz w:val="24"/>
                <w:szCs w:val="24"/>
              </w:rPr>
              <w:t>工程</w:t>
            </w:r>
            <w:r>
              <w:rPr>
                <w:rFonts w:hint="eastAsia"/>
                <w:kern w:val="0"/>
                <w:sz w:val="24"/>
                <w:szCs w:val="24"/>
              </w:rPr>
              <w:t>建设</w:t>
            </w:r>
            <w:r>
              <w:rPr>
                <w:kern w:val="0"/>
                <w:sz w:val="24"/>
                <w:szCs w:val="24"/>
              </w:rPr>
              <w:t>内容包括排水设施沟土方开挖和回填、路面恢复硬化、管道连接安装及相关配套工程等。</w:t>
            </w:r>
          </w:p>
          <w:p>
            <w:pPr>
              <w:snapToGrid w:val="0"/>
              <w:spacing w:line="520" w:lineRule="exact"/>
              <w:ind w:firstLine="480" w:firstLineChars="200"/>
              <w:contextualSpacing/>
              <w:rPr>
                <w:kern w:val="0"/>
                <w:sz w:val="24"/>
                <w:szCs w:val="24"/>
              </w:rPr>
            </w:pPr>
            <w:r>
              <w:rPr>
                <w:kern w:val="0"/>
                <w:sz w:val="24"/>
                <w:szCs w:val="24"/>
              </w:rPr>
              <w:t>项目组成详见表1-1，项目主要技术指标及工程量详见表1-2。</w:t>
            </w:r>
          </w:p>
          <w:p>
            <w:pPr>
              <w:snapToGrid w:val="0"/>
              <w:spacing w:line="520" w:lineRule="exact"/>
              <w:contextualSpacing/>
              <w:jc w:val="center"/>
              <w:rPr>
                <w:b/>
                <w:sz w:val="24"/>
                <w:szCs w:val="24"/>
              </w:rPr>
            </w:pPr>
            <w:r>
              <w:rPr>
                <w:b/>
                <w:sz w:val="24"/>
                <w:szCs w:val="24"/>
              </w:rPr>
              <w:t>表1-1   项目组成一览表</w:t>
            </w:r>
          </w:p>
          <w:tbl>
            <w:tblPr>
              <w:tblStyle w:val="19"/>
              <w:tblW w:w="921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8"/>
              <w:gridCol w:w="709"/>
              <w:gridCol w:w="709"/>
              <w:gridCol w:w="1134"/>
              <w:gridCol w:w="5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序号</w:t>
                  </w:r>
                </w:p>
              </w:tc>
              <w:tc>
                <w:tcPr>
                  <w:tcW w:w="2552" w:type="dxa"/>
                  <w:gridSpan w:val="3"/>
                  <w:vAlign w:val="center"/>
                </w:tcPr>
                <w:p>
                  <w:pPr>
                    <w:snapToGrid w:val="0"/>
                    <w:spacing w:line="360" w:lineRule="exact"/>
                    <w:contextualSpacing/>
                    <w:jc w:val="center"/>
                    <w:rPr>
                      <w:b/>
                      <w:szCs w:val="21"/>
                    </w:rPr>
                  </w:pPr>
                  <w:r>
                    <w:rPr>
                      <w:rFonts w:hint="eastAsia"/>
                      <w:szCs w:val="21"/>
                    </w:rPr>
                    <w:t>项目类型</w:t>
                  </w:r>
                </w:p>
              </w:tc>
              <w:tc>
                <w:tcPr>
                  <w:tcW w:w="5953" w:type="dxa"/>
                  <w:vAlign w:val="center"/>
                </w:tcPr>
                <w:p>
                  <w:pPr>
                    <w:snapToGrid w:val="0"/>
                    <w:spacing w:line="360" w:lineRule="exact"/>
                    <w:contextualSpacing/>
                    <w:jc w:val="center"/>
                    <w:rPr>
                      <w:szCs w:val="21"/>
                    </w:rPr>
                  </w:pPr>
                  <w:r>
                    <w:rPr>
                      <w:rFonts w:hint="eastAsia"/>
                      <w:szCs w:val="21"/>
                    </w:rPr>
                    <w:t>建设内容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1</w:t>
                  </w:r>
                </w:p>
              </w:tc>
              <w:tc>
                <w:tcPr>
                  <w:tcW w:w="709" w:type="dxa"/>
                  <w:vMerge w:val="restart"/>
                  <w:vAlign w:val="center"/>
                </w:tcPr>
                <w:p>
                  <w:pPr>
                    <w:snapToGrid w:val="0"/>
                    <w:spacing w:line="360" w:lineRule="exact"/>
                    <w:contextualSpacing/>
                    <w:jc w:val="center"/>
                    <w:rPr>
                      <w:b/>
                      <w:szCs w:val="21"/>
                    </w:rPr>
                  </w:pPr>
                  <w:r>
                    <w:rPr>
                      <w:rFonts w:hint="eastAsia"/>
                      <w:bCs/>
                      <w:szCs w:val="21"/>
                    </w:rPr>
                    <w:t>主体工程</w:t>
                  </w:r>
                </w:p>
              </w:tc>
              <w:tc>
                <w:tcPr>
                  <w:tcW w:w="709" w:type="dxa"/>
                  <w:vMerge w:val="restart"/>
                  <w:vAlign w:val="center"/>
                </w:tcPr>
                <w:p>
                  <w:pPr>
                    <w:snapToGrid w:val="0"/>
                    <w:spacing w:line="360" w:lineRule="exact"/>
                    <w:contextualSpacing/>
                    <w:jc w:val="center"/>
                    <w:rPr>
                      <w:b/>
                      <w:szCs w:val="21"/>
                    </w:rPr>
                  </w:pPr>
                  <w:r>
                    <w:rPr>
                      <w:rFonts w:hint="eastAsia"/>
                      <w:szCs w:val="21"/>
                    </w:rPr>
                    <w:t>管网工程</w:t>
                  </w:r>
                </w:p>
              </w:tc>
              <w:tc>
                <w:tcPr>
                  <w:tcW w:w="1134" w:type="dxa"/>
                  <w:vAlign w:val="center"/>
                </w:tcPr>
                <w:p>
                  <w:pPr>
                    <w:snapToGrid w:val="0"/>
                    <w:spacing w:line="360" w:lineRule="exact"/>
                    <w:contextualSpacing/>
                    <w:jc w:val="center"/>
                    <w:rPr>
                      <w:b/>
                      <w:szCs w:val="21"/>
                    </w:rPr>
                  </w:pPr>
                  <w:r>
                    <w:rPr>
                      <w:rFonts w:hint="eastAsia"/>
                      <w:szCs w:val="21"/>
                    </w:rPr>
                    <w:t>管网工程</w:t>
                  </w:r>
                </w:p>
              </w:tc>
              <w:tc>
                <w:tcPr>
                  <w:tcW w:w="5953" w:type="dxa"/>
                  <w:vAlign w:val="center"/>
                </w:tcPr>
                <w:p>
                  <w:pPr>
                    <w:snapToGrid w:val="0"/>
                    <w:spacing w:line="360" w:lineRule="exact"/>
                    <w:contextualSpacing/>
                    <w:jc w:val="center"/>
                    <w:rPr>
                      <w:b/>
                      <w:szCs w:val="21"/>
                    </w:rPr>
                  </w:pPr>
                  <w:r>
                    <w:rPr>
                      <w:kern w:val="0"/>
                      <w:szCs w:val="21"/>
                    </w:rPr>
                    <w:t>排水管网总计</w:t>
                  </w:r>
                  <w:r>
                    <w:rPr>
                      <w:rFonts w:hint="eastAsia"/>
                      <w:kern w:val="0"/>
                      <w:szCs w:val="21"/>
                    </w:rPr>
                    <w:t>30430</w:t>
                  </w:r>
                  <w:r>
                    <w:rPr>
                      <w:kern w:val="0"/>
                      <w:szCs w:val="21"/>
                    </w:rPr>
                    <w:t>m，</w:t>
                  </w:r>
                  <w:r>
                    <w:rPr>
                      <w:rFonts w:hint="eastAsia"/>
                      <w:kern w:val="0"/>
                      <w:szCs w:val="21"/>
                    </w:rPr>
                    <w:t>污水管道总长为16425m，其中</w:t>
                  </w:r>
                  <w:r>
                    <w:rPr>
                      <w:kern w:val="0"/>
                      <w:szCs w:val="21"/>
                    </w:rPr>
                    <w:t>支管型号为</w:t>
                  </w:r>
                  <w:r>
                    <w:rPr>
                      <w:rFonts w:hint="eastAsia"/>
                      <w:kern w:val="0"/>
                      <w:szCs w:val="21"/>
                    </w:rPr>
                    <w:t>DN800、DN500</w:t>
                  </w:r>
                  <w:r>
                    <w:rPr>
                      <w:kern w:val="0"/>
                      <w:szCs w:val="21"/>
                    </w:rPr>
                    <w:t>，长度</w:t>
                  </w:r>
                  <w:r>
                    <w:rPr>
                      <w:rFonts w:hint="eastAsia"/>
                      <w:kern w:val="0"/>
                      <w:szCs w:val="21"/>
                    </w:rPr>
                    <w:t>分别</w:t>
                  </w:r>
                  <w:r>
                    <w:rPr>
                      <w:kern w:val="0"/>
                      <w:szCs w:val="21"/>
                    </w:rPr>
                    <w:t>为</w:t>
                  </w:r>
                  <w:r>
                    <w:rPr>
                      <w:rFonts w:hint="eastAsia"/>
                      <w:kern w:val="0"/>
                      <w:szCs w:val="21"/>
                    </w:rPr>
                    <w:t>3880</w:t>
                  </w:r>
                  <w:r>
                    <w:rPr>
                      <w:kern w:val="0"/>
                      <w:szCs w:val="21"/>
                    </w:rPr>
                    <w:t>m</w:t>
                  </w:r>
                  <w:r>
                    <w:rPr>
                      <w:rFonts w:hint="eastAsia"/>
                      <w:kern w:val="0"/>
                      <w:szCs w:val="21"/>
                    </w:rPr>
                    <w:t>、4527m</w:t>
                  </w:r>
                  <w:r>
                    <w:rPr>
                      <w:kern w:val="0"/>
                      <w:szCs w:val="21"/>
                    </w:rPr>
                    <w:t>；</w:t>
                  </w:r>
                  <w:r>
                    <w:rPr>
                      <w:rFonts w:hint="eastAsia"/>
                      <w:kern w:val="0"/>
                      <w:szCs w:val="21"/>
                    </w:rPr>
                    <w:t>雨水管道总长度为14008m，其中</w:t>
                  </w:r>
                  <w:r>
                    <w:rPr>
                      <w:kern w:val="0"/>
                      <w:szCs w:val="21"/>
                    </w:rPr>
                    <w:t>支管型号为</w:t>
                  </w:r>
                  <w:r>
                    <w:rPr>
                      <w:rFonts w:hint="eastAsia"/>
                      <w:kern w:val="0"/>
                      <w:szCs w:val="21"/>
                    </w:rPr>
                    <w:t>DN1000、DN1200、DN1400</w:t>
                  </w:r>
                  <w:r>
                    <w:rPr>
                      <w:kern w:val="0"/>
                      <w:szCs w:val="21"/>
                    </w:rPr>
                    <w:t>，长度</w:t>
                  </w:r>
                  <w:r>
                    <w:rPr>
                      <w:rFonts w:hint="eastAsia"/>
                      <w:kern w:val="0"/>
                      <w:szCs w:val="21"/>
                    </w:rPr>
                    <w:t>分别</w:t>
                  </w:r>
                  <w:r>
                    <w:rPr>
                      <w:kern w:val="0"/>
                      <w:szCs w:val="21"/>
                    </w:rPr>
                    <w:t>为</w:t>
                  </w:r>
                  <w:r>
                    <w:rPr>
                      <w:rFonts w:hint="eastAsia"/>
                      <w:kern w:val="0"/>
                      <w:szCs w:val="21"/>
                    </w:rPr>
                    <w:t>9534</w:t>
                  </w:r>
                  <w:r>
                    <w:rPr>
                      <w:kern w:val="0"/>
                      <w:szCs w:val="21"/>
                    </w:rPr>
                    <w:t>m</w:t>
                  </w:r>
                  <w:r>
                    <w:rPr>
                      <w:rFonts w:hint="eastAsia"/>
                      <w:kern w:val="0"/>
                      <w:szCs w:val="21"/>
                    </w:rPr>
                    <w:t>、2790m、1684m</w:t>
                  </w:r>
                  <w:r>
                    <w:rPr>
                      <w:kern w:val="0"/>
                      <w:szCs w:val="21"/>
                    </w:rPr>
                    <w:t>。</w:t>
                  </w:r>
                  <w:r>
                    <w:rPr>
                      <w:szCs w:val="21"/>
                    </w:rPr>
                    <w:t>主要沿现有道路铺设。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2</w:t>
                  </w:r>
                </w:p>
              </w:tc>
              <w:tc>
                <w:tcPr>
                  <w:tcW w:w="709" w:type="dxa"/>
                  <w:vMerge w:val="continue"/>
                  <w:vAlign w:val="center"/>
                </w:tcPr>
                <w:p>
                  <w:pPr>
                    <w:snapToGrid w:val="0"/>
                    <w:spacing w:line="360" w:lineRule="exact"/>
                    <w:contextualSpacing/>
                    <w:jc w:val="center"/>
                    <w:rPr>
                      <w:b/>
                      <w:szCs w:val="21"/>
                    </w:rPr>
                  </w:pPr>
                </w:p>
              </w:tc>
              <w:tc>
                <w:tcPr>
                  <w:tcW w:w="709" w:type="dxa"/>
                  <w:vMerge w:val="continue"/>
                  <w:vAlign w:val="center"/>
                </w:tcPr>
                <w:p>
                  <w:pPr>
                    <w:snapToGrid w:val="0"/>
                    <w:spacing w:line="360" w:lineRule="exact"/>
                    <w:contextualSpacing/>
                    <w:jc w:val="center"/>
                    <w:rPr>
                      <w:szCs w:val="21"/>
                    </w:rPr>
                  </w:pPr>
                </w:p>
              </w:tc>
              <w:tc>
                <w:tcPr>
                  <w:tcW w:w="1134" w:type="dxa"/>
                  <w:vAlign w:val="center"/>
                </w:tcPr>
                <w:p>
                  <w:pPr>
                    <w:snapToGrid w:val="0"/>
                    <w:spacing w:line="360" w:lineRule="exact"/>
                    <w:contextualSpacing/>
                    <w:jc w:val="center"/>
                    <w:rPr>
                      <w:b/>
                      <w:szCs w:val="21"/>
                    </w:rPr>
                  </w:pPr>
                  <w:r>
                    <w:rPr>
                      <w:szCs w:val="21"/>
                    </w:rPr>
                    <w:t>配套工程</w:t>
                  </w:r>
                </w:p>
              </w:tc>
              <w:tc>
                <w:tcPr>
                  <w:tcW w:w="5953" w:type="dxa"/>
                  <w:vAlign w:val="center"/>
                </w:tcPr>
                <w:p>
                  <w:pPr>
                    <w:snapToGrid w:val="0"/>
                    <w:spacing w:line="360" w:lineRule="exact"/>
                    <w:contextualSpacing/>
                    <w:jc w:val="center"/>
                    <w:rPr>
                      <w:b/>
                      <w:szCs w:val="21"/>
                    </w:rPr>
                  </w:pPr>
                  <w:r>
                    <w:rPr>
                      <w:szCs w:val="21"/>
                    </w:rPr>
                    <w:t>包括检查井等配套工程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3</w:t>
                  </w:r>
                </w:p>
              </w:tc>
              <w:tc>
                <w:tcPr>
                  <w:tcW w:w="709" w:type="dxa"/>
                  <w:vMerge w:val="restart"/>
                  <w:vAlign w:val="center"/>
                </w:tcPr>
                <w:p>
                  <w:pPr>
                    <w:snapToGrid w:val="0"/>
                    <w:spacing w:line="360" w:lineRule="exact"/>
                    <w:contextualSpacing/>
                    <w:jc w:val="center"/>
                    <w:rPr>
                      <w:b/>
                      <w:szCs w:val="21"/>
                    </w:rPr>
                  </w:pPr>
                  <w:r>
                    <w:rPr>
                      <w:rFonts w:hint="eastAsia"/>
                      <w:szCs w:val="21"/>
                    </w:rPr>
                    <w:t>环保工程</w:t>
                  </w:r>
                </w:p>
              </w:tc>
              <w:tc>
                <w:tcPr>
                  <w:tcW w:w="709" w:type="dxa"/>
                  <w:vMerge w:val="restart"/>
                  <w:vAlign w:val="center"/>
                </w:tcPr>
                <w:p>
                  <w:pPr>
                    <w:snapToGrid w:val="0"/>
                    <w:spacing w:line="360" w:lineRule="exact"/>
                    <w:contextualSpacing/>
                    <w:jc w:val="center"/>
                    <w:rPr>
                      <w:szCs w:val="21"/>
                    </w:rPr>
                  </w:pPr>
                  <w:r>
                    <w:rPr>
                      <w:rFonts w:hint="eastAsia"/>
                      <w:szCs w:val="21"/>
                    </w:rPr>
                    <w:t>施工期</w:t>
                  </w:r>
                </w:p>
              </w:tc>
              <w:tc>
                <w:tcPr>
                  <w:tcW w:w="1134" w:type="dxa"/>
                  <w:vAlign w:val="center"/>
                </w:tcPr>
                <w:p>
                  <w:pPr>
                    <w:snapToGrid w:val="0"/>
                    <w:spacing w:line="360" w:lineRule="exact"/>
                    <w:contextualSpacing/>
                    <w:jc w:val="center"/>
                    <w:rPr>
                      <w:szCs w:val="21"/>
                    </w:rPr>
                  </w:pPr>
                  <w:r>
                    <w:rPr>
                      <w:szCs w:val="21"/>
                    </w:rPr>
                    <w:t>噪声治理</w:t>
                  </w:r>
                </w:p>
              </w:tc>
              <w:tc>
                <w:tcPr>
                  <w:tcW w:w="5953" w:type="dxa"/>
                  <w:vAlign w:val="center"/>
                </w:tcPr>
                <w:p>
                  <w:pPr>
                    <w:snapToGrid w:val="0"/>
                    <w:spacing w:line="360" w:lineRule="exact"/>
                    <w:contextualSpacing/>
                    <w:jc w:val="center"/>
                    <w:rPr>
                      <w:szCs w:val="21"/>
                    </w:rPr>
                  </w:pPr>
                  <w:r>
                    <w:rPr>
                      <w:rFonts w:hint="eastAsia"/>
                      <w:szCs w:val="21"/>
                    </w:rPr>
                    <w:t>施工期减震、隔声降噪措施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4</w:t>
                  </w:r>
                </w:p>
              </w:tc>
              <w:tc>
                <w:tcPr>
                  <w:tcW w:w="709" w:type="dxa"/>
                  <w:vMerge w:val="continue"/>
                  <w:vAlign w:val="center"/>
                </w:tcPr>
                <w:p>
                  <w:pPr>
                    <w:snapToGrid w:val="0"/>
                    <w:spacing w:line="360" w:lineRule="exact"/>
                    <w:contextualSpacing/>
                    <w:jc w:val="center"/>
                    <w:rPr>
                      <w:b/>
                      <w:szCs w:val="21"/>
                    </w:rPr>
                  </w:pPr>
                </w:p>
              </w:tc>
              <w:tc>
                <w:tcPr>
                  <w:tcW w:w="709" w:type="dxa"/>
                  <w:vMerge w:val="continue"/>
                  <w:vAlign w:val="center"/>
                </w:tcPr>
                <w:p>
                  <w:pPr>
                    <w:snapToGrid w:val="0"/>
                    <w:spacing w:line="360" w:lineRule="exact"/>
                    <w:contextualSpacing/>
                    <w:jc w:val="center"/>
                    <w:rPr>
                      <w:szCs w:val="21"/>
                    </w:rPr>
                  </w:pPr>
                </w:p>
              </w:tc>
              <w:tc>
                <w:tcPr>
                  <w:tcW w:w="1134" w:type="dxa"/>
                  <w:vAlign w:val="center"/>
                </w:tcPr>
                <w:p>
                  <w:pPr>
                    <w:snapToGrid w:val="0"/>
                    <w:spacing w:line="360" w:lineRule="exact"/>
                    <w:contextualSpacing/>
                    <w:jc w:val="center"/>
                    <w:rPr>
                      <w:szCs w:val="21"/>
                    </w:rPr>
                  </w:pPr>
                  <w:r>
                    <w:rPr>
                      <w:szCs w:val="21"/>
                    </w:rPr>
                    <w:t>固废处理</w:t>
                  </w:r>
                </w:p>
              </w:tc>
              <w:tc>
                <w:tcPr>
                  <w:tcW w:w="5953" w:type="dxa"/>
                  <w:vAlign w:val="center"/>
                </w:tcPr>
                <w:p>
                  <w:pPr>
                    <w:snapToGrid w:val="0"/>
                    <w:spacing w:line="360" w:lineRule="exact"/>
                    <w:contextualSpacing/>
                    <w:jc w:val="center"/>
                    <w:rPr>
                      <w:szCs w:val="21"/>
                    </w:rPr>
                  </w:pPr>
                  <w:r>
                    <w:rPr>
                      <w:rFonts w:hint="eastAsia"/>
                      <w:szCs w:val="21"/>
                    </w:rPr>
                    <w:t>施工期废弃筑路材料、建筑垃圾能够回用的回用，不能回用的由渣土办处置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5</w:t>
                  </w:r>
                </w:p>
              </w:tc>
              <w:tc>
                <w:tcPr>
                  <w:tcW w:w="709" w:type="dxa"/>
                  <w:vMerge w:val="continue"/>
                  <w:vAlign w:val="center"/>
                </w:tcPr>
                <w:p>
                  <w:pPr>
                    <w:snapToGrid w:val="0"/>
                    <w:spacing w:line="360" w:lineRule="exact"/>
                    <w:contextualSpacing/>
                    <w:jc w:val="center"/>
                    <w:rPr>
                      <w:b/>
                      <w:szCs w:val="21"/>
                    </w:rPr>
                  </w:pPr>
                </w:p>
              </w:tc>
              <w:tc>
                <w:tcPr>
                  <w:tcW w:w="709" w:type="dxa"/>
                  <w:vMerge w:val="continue"/>
                  <w:vAlign w:val="center"/>
                </w:tcPr>
                <w:p>
                  <w:pPr>
                    <w:snapToGrid w:val="0"/>
                    <w:spacing w:line="360" w:lineRule="exact"/>
                    <w:contextualSpacing/>
                    <w:jc w:val="center"/>
                    <w:rPr>
                      <w:szCs w:val="21"/>
                    </w:rPr>
                  </w:pPr>
                </w:p>
              </w:tc>
              <w:tc>
                <w:tcPr>
                  <w:tcW w:w="1134" w:type="dxa"/>
                  <w:vAlign w:val="center"/>
                </w:tcPr>
                <w:p>
                  <w:pPr>
                    <w:snapToGrid w:val="0"/>
                    <w:spacing w:line="360" w:lineRule="exact"/>
                    <w:contextualSpacing/>
                    <w:jc w:val="center"/>
                    <w:rPr>
                      <w:szCs w:val="21"/>
                    </w:rPr>
                  </w:pPr>
                  <w:r>
                    <w:rPr>
                      <w:rFonts w:hint="eastAsia"/>
                      <w:szCs w:val="21"/>
                    </w:rPr>
                    <w:t>废水</w:t>
                  </w:r>
                </w:p>
              </w:tc>
              <w:tc>
                <w:tcPr>
                  <w:tcW w:w="5953" w:type="dxa"/>
                  <w:vAlign w:val="center"/>
                </w:tcPr>
                <w:p>
                  <w:pPr>
                    <w:snapToGrid w:val="0"/>
                    <w:spacing w:line="360" w:lineRule="exact"/>
                    <w:contextualSpacing/>
                    <w:jc w:val="center"/>
                    <w:rPr>
                      <w:szCs w:val="21"/>
                    </w:rPr>
                  </w:pPr>
                  <w:r>
                    <w:rPr>
                      <w:rFonts w:hint="eastAsia"/>
                      <w:szCs w:val="21"/>
                    </w:rPr>
                    <w:t>生产废水设隔油沉淀池；生活污水不设施工营地，依托周边社区现有污水排放系统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708" w:type="dxa"/>
                  <w:vAlign w:val="center"/>
                </w:tcPr>
                <w:p>
                  <w:pPr>
                    <w:snapToGrid w:val="0"/>
                    <w:spacing w:line="360" w:lineRule="exact"/>
                    <w:contextualSpacing/>
                    <w:jc w:val="center"/>
                    <w:rPr>
                      <w:szCs w:val="21"/>
                    </w:rPr>
                  </w:pPr>
                  <w:r>
                    <w:rPr>
                      <w:rFonts w:hint="eastAsia"/>
                      <w:szCs w:val="21"/>
                    </w:rPr>
                    <w:t>6</w:t>
                  </w:r>
                </w:p>
              </w:tc>
              <w:tc>
                <w:tcPr>
                  <w:tcW w:w="709" w:type="dxa"/>
                  <w:vMerge w:val="continue"/>
                  <w:vAlign w:val="center"/>
                </w:tcPr>
                <w:p>
                  <w:pPr>
                    <w:snapToGrid w:val="0"/>
                    <w:spacing w:line="360" w:lineRule="exact"/>
                    <w:contextualSpacing/>
                    <w:jc w:val="center"/>
                    <w:rPr>
                      <w:b/>
                      <w:szCs w:val="21"/>
                    </w:rPr>
                  </w:pPr>
                </w:p>
              </w:tc>
              <w:tc>
                <w:tcPr>
                  <w:tcW w:w="709" w:type="dxa"/>
                  <w:vMerge w:val="continue"/>
                  <w:vAlign w:val="center"/>
                </w:tcPr>
                <w:p>
                  <w:pPr>
                    <w:snapToGrid w:val="0"/>
                    <w:spacing w:line="360" w:lineRule="exact"/>
                    <w:contextualSpacing/>
                    <w:jc w:val="center"/>
                    <w:rPr>
                      <w:szCs w:val="21"/>
                    </w:rPr>
                  </w:pPr>
                </w:p>
              </w:tc>
              <w:tc>
                <w:tcPr>
                  <w:tcW w:w="1134" w:type="dxa"/>
                  <w:vAlign w:val="center"/>
                </w:tcPr>
                <w:p>
                  <w:pPr>
                    <w:snapToGrid w:val="0"/>
                    <w:spacing w:line="360" w:lineRule="exact"/>
                    <w:contextualSpacing/>
                    <w:jc w:val="center"/>
                    <w:rPr>
                      <w:szCs w:val="21"/>
                    </w:rPr>
                  </w:pPr>
                  <w:r>
                    <w:rPr>
                      <w:rFonts w:hint="eastAsia"/>
                      <w:szCs w:val="21"/>
                    </w:rPr>
                    <w:t>废气治理</w:t>
                  </w:r>
                </w:p>
              </w:tc>
              <w:tc>
                <w:tcPr>
                  <w:tcW w:w="5953" w:type="dxa"/>
                  <w:vAlign w:val="center"/>
                </w:tcPr>
                <w:p>
                  <w:pPr>
                    <w:snapToGrid w:val="0"/>
                    <w:spacing w:line="360" w:lineRule="exact"/>
                    <w:contextualSpacing/>
                    <w:jc w:val="center"/>
                    <w:rPr>
                      <w:szCs w:val="21"/>
                    </w:rPr>
                  </w:pPr>
                  <w:r>
                    <w:rPr>
                      <w:rFonts w:hint="eastAsia"/>
                      <w:szCs w:val="21"/>
                    </w:rPr>
                    <w:t>施工临时围护措施、苫布、铁皮围挡等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9213" w:type="dxa"/>
                  <w:gridSpan w:val="5"/>
                  <w:vAlign w:val="center"/>
                </w:tcPr>
                <w:p>
                  <w:pPr>
                    <w:snapToGrid w:val="0"/>
                    <w:spacing w:line="360" w:lineRule="exact"/>
                    <w:contextualSpacing/>
                    <w:jc w:val="center"/>
                    <w:rPr>
                      <w:szCs w:val="21"/>
                    </w:rPr>
                  </w:pPr>
                  <w:r>
                    <w:rPr>
                      <w:rFonts w:hint="eastAsia"/>
                      <w:szCs w:val="21"/>
                    </w:rPr>
                    <w:t>注：本项目管道铺设区域不涉及穿越油、汽管道。</w:t>
                  </w:r>
                </w:p>
              </w:tc>
            </w:tr>
          </w:tbl>
          <w:p>
            <w:pPr>
              <w:snapToGrid w:val="0"/>
              <w:spacing w:line="520" w:lineRule="exact"/>
              <w:contextualSpacing/>
              <w:jc w:val="center"/>
              <w:rPr>
                <w:b/>
                <w:sz w:val="24"/>
                <w:szCs w:val="24"/>
              </w:rPr>
            </w:pPr>
            <w:r>
              <w:rPr>
                <w:rFonts w:hint="eastAsia"/>
                <w:b/>
                <w:sz w:val="24"/>
                <w:szCs w:val="24"/>
              </w:rPr>
              <w:t>表1-2   主要技术指标</w:t>
            </w:r>
          </w:p>
          <w:tbl>
            <w:tblPr>
              <w:tblStyle w:val="19"/>
              <w:tblW w:w="918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6"/>
              <w:gridCol w:w="1706"/>
              <w:gridCol w:w="1706"/>
              <w:gridCol w:w="837"/>
              <w:gridCol w:w="985"/>
              <w:gridCol w:w="31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63" w:hRule="exact"/>
                <w:tblHeader/>
                <w:jc w:val="center"/>
              </w:trPr>
              <w:tc>
                <w:tcPr>
                  <w:tcW w:w="756" w:type="dxa"/>
                  <w:vAlign w:val="center"/>
                </w:tcPr>
                <w:p>
                  <w:pPr>
                    <w:snapToGrid w:val="0"/>
                    <w:spacing w:line="360" w:lineRule="exact"/>
                    <w:contextualSpacing/>
                    <w:jc w:val="center"/>
                    <w:rPr>
                      <w:szCs w:val="21"/>
                    </w:rPr>
                  </w:pPr>
                  <w:r>
                    <w:rPr>
                      <w:szCs w:val="21"/>
                    </w:rPr>
                    <w:t>序号</w:t>
                  </w:r>
                </w:p>
              </w:tc>
              <w:tc>
                <w:tcPr>
                  <w:tcW w:w="1706" w:type="dxa"/>
                  <w:vAlign w:val="center"/>
                </w:tcPr>
                <w:p>
                  <w:pPr>
                    <w:snapToGrid w:val="0"/>
                    <w:spacing w:line="360" w:lineRule="exact"/>
                    <w:contextualSpacing/>
                    <w:jc w:val="center"/>
                    <w:rPr>
                      <w:szCs w:val="21"/>
                    </w:rPr>
                  </w:pPr>
                  <w:r>
                    <w:rPr>
                      <w:szCs w:val="21"/>
                    </w:rPr>
                    <w:t>指标名称</w:t>
                  </w:r>
                </w:p>
              </w:tc>
              <w:tc>
                <w:tcPr>
                  <w:tcW w:w="1706" w:type="dxa"/>
                  <w:vAlign w:val="center"/>
                </w:tcPr>
                <w:p>
                  <w:pPr>
                    <w:snapToGrid w:val="0"/>
                    <w:spacing w:line="360" w:lineRule="exact"/>
                    <w:contextualSpacing/>
                    <w:jc w:val="center"/>
                    <w:rPr>
                      <w:szCs w:val="21"/>
                    </w:rPr>
                  </w:pPr>
                  <w:r>
                    <w:rPr>
                      <w:rFonts w:hint="eastAsia"/>
                      <w:szCs w:val="21"/>
                    </w:rPr>
                    <w:t>型号</w:t>
                  </w:r>
                </w:p>
              </w:tc>
              <w:tc>
                <w:tcPr>
                  <w:tcW w:w="837" w:type="dxa"/>
                  <w:vAlign w:val="center"/>
                </w:tcPr>
                <w:p>
                  <w:pPr>
                    <w:snapToGrid w:val="0"/>
                    <w:spacing w:line="360" w:lineRule="exact"/>
                    <w:contextualSpacing/>
                    <w:jc w:val="center"/>
                    <w:rPr>
                      <w:szCs w:val="21"/>
                    </w:rPr>
                  </w:pPr>
                  <w:r>
                    <w:rPr>
                      <w:szCs w:val="21"/>
                    </w:rPr>
                    <w:t>单位</w:t>
                  </w:r>
                </w:p>
              </w:tc>
              <w:tc>
                <w:tcPr>
                  <w:tcW w:w="985" w:type="dxa"/>
                  <w:vAlign w:val="center"/>
                </w:tcPr>
                <w:p>
                  <w:pPr>
                    <w:snapToGrid w:val="0"/>
                    <w:spacing w:line="360" w:lineRule="exact"/>
                    <w:contextualSpacing/>
                    <w:jc w:val="center"/>
                    <w:rPr>
                      <w:szCs w:val="21"/>
                    </w:rPr>
                  </w:pPr>
                  <w:r>
                    <w:rPr>
                      <w:szCs w:val="21"/>
                    </w:rPr>
                    <w:t>指标</w:t>
                  </w:r>
                </w:p>
              </w:tc>
              <w:tc>
                <w:tcPr>
                  <w:tcW w:w="3190" w:type="dxa"/>
                  <w:vAlign w:val="center"/>
                </w:tcPr>
                <w:p>
                  <w:pPr>
                    <w:snapToGrid w:val="0"/>
                    <w:spacing w:line="360" w:lineRule="exact"/>
                    <w:contextualSpacing/>
                    <w:jc w:val="center"/>
                    <w:rPr>
                      <w:szCs w:val="21"/>
                    </w:rPr>
                  </w:pPr>
                  <w:r>
                    <w:rPr>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Merge w:val="restart"/>
                  <w:vAlign w:val="center"/>
                </w:tcPr>
                <w:p>
                  <w:pPr>
                    <w:snapToGrid w:val="0"/>
                    <w:spacing w:line="360" w:lineRule="exact"/>
                    <w:contextualSpacing/>
                    <w:jc w:val="center"/>
                    <w:rPr>
                      <w:szCs w:val="21"/>
                    </w:rPr>
                  </w:pPr>
                  <w:r>
                    <w:rPr>
                      <w:rFonts w:hint="eastAsia"/>
                      <w:szCs w:val="21"/>
                    </w:rPr>
                    <w:t>1</w:t>
                  </w:r>
                </w:p>
              </w:tc>
              <w:tc>
                <w:tcPr>
                  <w:tcW w:w="1706" w:type="dxa"/>
                  <w:vMerge w:val="restart"/>
                  <w:vAlign w:val="center"/>
                </w:tcPr>
                <w:p>
                  <w:pPr>
                    <w:snapToGrid w:val="0"/>
                    <w:spacing w:line="360" w:lineRule="exact"/>
                    <w:contextualSpacing/>
                    <w:jc w:val="center"/>
                    <w:rPr>
                      <w:szCs w:val="21"/>
                    </w:rPr>
                  </w:pPr>
                  <w:r>
                    <w:rPr>
                      <w:rFonts w:hint="eastAsia"/>
                      <w:szCs w:val="21"/>
                    </w:rPr>
                    <w:t>污水管道</w:t>
                  </w:r>
                </w:p>
              </w:tc>
              <w:tc>
                <w:tcPr>
                  <w:tcW w:w="1706" w:type="dxa"/>
                  <w:vAlign w:val="center"/>
                </w:tcPr>
                <w:p>
                  <w:pPr>
                    <w:snapToGrid w:val="0"/>
                    <w:spacing w:line="360" w:lineRule="exact"/>
                    <w:contextualSpacing/>
                    <w:jc w:val="center"/>
                    <w:rPr>
                      <w:szCs w:val="21"/>
                    </w:rPr>
                  </w:pPr>
                  <w:r>
                    <w:rPr>
                      <w:rFonts w:hint="eastAsia"/>
                      <w:kern w:val="0"/>
                      <w:szCs w:val="21"/>
                    </w:rPr>
                    <w:t>DN800</w:t>
                  </w:r>
                </w:p>
              </w:tc>
              <w:tc>
                <w:tcPr>
                  <w:tcW w:w="837" w:type="dxa"/>
                  <w:vAlign w:val="center"/>
                </w:tcPr>
                <w:p>
                  <w:pPr>
                    <w:snapToGrid w:val="0"/>
                    <w:spacing w:line="360" w:lineRule="exact"/>
                    <w:contextualSpacing/>
                    <w:jc w:val="center"/>
                    <w:rPr>
                      <w:szCs w:val="21"/>
                    </w:rPr>
                  </w:pPr>
                  <w:r>
                    <w:rPr>
                      <w:szCs w:val="21"/>
                    </w:rPr>
                    <w:t>m</w:t>
                  </w:r>
                </w:p>
              </w:tc>
              <w:tc>
                <w:tcPr>
                  <w:tcW w:w="985" w:type="dxa"/>
                  <w:vAlign w:val="center"/>
                </w:tcPr>
                <w:p>
                  <w:pPr>
                    <w:snapToGrid w:val="0"/>
                    <w:spacing w:line="360" w:lineRule="exact"/>
                    <w:contextualSpacing/>
                    <w:jc w:val="center"/>
                    <w:rPr>
                      <w:szCs w:val="21"/>
                    </w:rPr>
                  </w:pPr>
                  <w:r>
                    <w:rPr>
                      <w:rFonts w:hint="eastAsia"/>
                      <w:szCs w:val="21"/>
                    </w:rPr>
                    <w:t>3880</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Merge w:val="continue"/>
                  <w:vAlign w:val="center"/>
                </w:tcPr>
                <w:p>
                  <w:pPr>
                    <w:snapToGrid w:val="0"/>
                    <w:spacing w:line="360" w:lineRule="exact"/>
                    <w:contextualSpacing/>
                    <w:jc w:val="center"/>
                    <w:rPr>
                      <w:szCs w:val="21"/>
                    </w:rPr>
                  </w:pPr>
                </w:p>
              </w:tc>
              <w:tc>
                <w:tcPr>
                  <w:tcW w:w="1706" w:type="dxa"/>
                  <w:vMerge w:val="continue"/>
                  <w:vAlign w:val="center"/>
                </w:tcPr>
                <w:p>
                  <w:pPr>
                    <w:snapToGrid w:val="0"/>
                    <w:spacing w:line="360" w:lineRule="exact"/>
                    <w:contextualSpacing/>
                    <w:jc w:val="center"/>
                    <w:rPr>
                      <w:szCs w:val="21"/>
                    </w:rPr>
                  </w:pPr>
                </w:p>
              </w:tc>
              <w:tc>
                <w:tcPr>
                  <w:tcW w:w="1706" w:type="dxa"/>
                  <w:vAlign w:val="center"/>
                </w:tcPr>
                <w:p>
                  <w:pPr>
                    <w:snapToGrid w:val="0"/>
                    <w:spacing w:line="360" w:lineRule="exact"/>
                    <w:contextualSpacing/>
                    <w:jc w:val="center"/>
                    <w:rPr>
                      <w:szCs w:val="21"/>
                    </w:rPr>
                  </w:pPr>
                  <w:r>
                    <w:rPr>
                      <w:rFonts w:hint="eastAsia"/>
                      <w:kern w:val="0"/>
                      <w:szCs w:val="21"/>
                    </w:rPr>
                    <w:t>DN500</w:t>
                  </w:r>
                </w:p>
              </w:tc>
              <w:tc>
                <w:tcPr>
                  <w:tcW w:w="837" w:type="dxa"/>
                  <w:vAlign w:val="center"/>
                </w:tcPr>
                <w:p>
                  <w:pPr>
                    <w:snapToGrid w:val="0"/>
                    <w:spacing w:line="360" w:lineRule="exact"/>
                    <w:contextualSpacing/>
                    <w:jc w:val="center"/>
                    <w:rPr>
                      <w:szCs w:val="21"/>
                    </w:rPr>
                  </w:pPr>
                  <w:r>
                    <w:rPr>
                      <w:szCs w:val="21"/>
                    </w:rPr>
                    <w:t>m</w:t>
                  </w:r>
                </w:p>
              </w:tc>
              <w:tc>
                <w:tcPr>
                  <w:tcW w:w="985" w:type="dxa"/>
                  <w:vAlign w:val="center"/>
                </w:tcPr>
                <w:p>
                  <w:pPr>
                    <w:snapToGrid w:val="0"/>
                    <w:spacing w:line="360" w:lineRule="exact"/>
                    <w:contextualSpacing/>
                    <w:jc w:val="center"/>
                    <w:rPr>
                      <w:szCs w:val="21"/>
                    </w:rPr>
                  </w:pPr>
                  <w:r>
                    <w:rPr>
                      <w:rFonts w:hint="eastAsia"/>
                      <w:szCs w:val="21"/>
                    </w:rPr>
                    <w:t>4527</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Merge w:val="restart"/>
                  <w:vAlign w:val="center"/>
                </w:tcPr>
                <w:p>
                  <w:pPr>
                    <w:snapToGrid w:val="0"/>
                    <w:spacing w:line="360" w:lineRule="exact"/>
                    <w:contextualSpacing/>
                    <w:jc w:val="center"/>
                    <w:rPr>
                      <w:szCs w:val="21"/>
                    </w:rPr>
                  </w:pPr>
                  <w:r>
                    <w:rPr>
                      <w:rFonts w:hint="eastAsia"/>
                      <w:szCs w:val="21"/>
                    </w:rPr>
                    <w:t>2</w:t>
                  </w:r>
                </w:p>
              </w:tc>
              <w:tc>
                <w:tcPr>
                  <w:tcW w:w="1706" w:type="dxa"/>
                  <w:vMerge w:val="restart"/>
                  <w:vAlign w:val="center"/>
                </w:tcPr>
                <w:p>
                  <w:pPr>
                    <w:snapToGrid w:val="0"/>
                    <w:spacing w:line="360" w:lineRule="exact"/>
                    <w:contextualSpacing/>
                    <w:jc w:val="center"/>
                    <w:rPr>
                      <w:szCs w:val="21"/>
                    </w:rPr>
                  </w:pPr>
                  <w:r>
                    <w:rPr>
                      <w:rFonts w:hint="eastAsia"/>
                      <w:szCs w:val="21"/>
                    </w:rPr>
                    <w:t>雨水管道</w:t>
                  </w:r>
                </w:p>
              </w:tc>
              <w:tc>
                <w:tcPr>
                  <w:tcW w:w="1706" w:type="dxa"/>
                  <w:vAlign w:val="center"/>
                </w:tcPr>
                <w:p>
                  <w:pPr>
                    <w:snapToGrid w:val="0"/>
                    <w:spacing w:line="360" w:lineRule="exact"/>
                    <w:contextualSpacing/>
                    <w:jc w:val="center"/>
                    <w:rPr>
                      <w:szCs w:val="21"/>
                    </w:rPr>
                  </w:pPr>
                  <w:r>
                    <w:rPr>
                      <w:rFonts w:hint="eastAsia"/>
                      <w:kern w:val="0"/>
                      <w:szCs w:val="21"/>
                    </w:rPr>
                    <w:t>DN1000</w:t>
                  </w:r>
                </w:p>
              </w:tc>
              <w:tc>
                <w:tcPr>
                  <w:tcW w:w="837" w:type="dxa"/>
                  <w:vAlign w:val="center"/>
                </w:tcPr>
                <w:p>
                  <w:pPr>
                    <w:snapToGrid w:val="0"/>
                    <w:spacing w:line="360" w:lineRule="exact"/>
                    <w:contextualSpacing/>
                    <w:jc w:val="center"/>
                    <w:rPr>
                      <w:szCs w:val="21"/>
                    </w:rPr>
                  </w:pPr>
                  <w:r>
                    <w:rPr>
                      <w:szCs w:val="21"/>
                    </w:rPr>
                    <w:t>m</w:t>
                  </w:r>
                </w:p>
              </w:tc>
              <w:tc>
                <w:tcPr>
                  <w:tcW w:w="985" w:type="dxa"/>
                  <w:vAlign w:val="center"/>
                </w:tcPr>
                <w:p>
                  <w:pPr>
                    <w:snapToGrid w:val="0"/>
                    <w:spacing w:line="360" w:lineRule="exact"/>
                    <w:contextualSpacing/>
                    <w:jc w:val="center"/>
                    <w:rPr>
                      <w:szCs w:val="21"/>
                    </w:rPr>
                  </w:pPr>
                  <w:r>
                    <w:rPr>
                      <w:rFonts w:hint="eastAsia"/>
                      <w:szCs w:val="21"/>
                    </w:rPr>
                    <w:t>9534</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Merge w:val="continue"/>
                  <w:vAlign w:val="center"/>
                </w:tcPr>
                <w:p>
                  <w:pPr>
                    <w:snapToGrid w:val="0"/>
                    <w:spacing w:line="360" w:lineRule="exact"/>
                    <w:contextualSpacing/>
                    <w:jc w:val="center"/>
                    <w:rPr>
                      <w:szCs w:val="21"/>
                    </w:rPr>
                  </w:pPr>
                </w:p>
              </w:tc>
              <w:tc>
                <w:tcPr>
                  <w:tcW w:w="1706" w:type="dxa"/>
                  <w:vMerge w:val="continue"/>
                  <w:vAlign w:val="center"/>
                </w:tcPr>
                <w:p>
                  <w:pPr>
                    <w:snapToGrid w:val="0"/>
                    <w:spacing w:line="360" w:lineRule="exact"/>
                    <w:contextualSpacing/>
                    <w:jc w:val="center"/>
                    <w:rPr>
                      <w:szCs w:val="21"/>
                    </w:rPr>
                  </w:pPr>
                </w:p>
              </w:tc>
              <w:tc>
                <w:tcPr>
                  <w:tcW w:w="1706" w:type="dxa"/>
                  <w:vAlign w:val="center"/>
                </w:tcPr>
                <w:p>
                  <w:pPr>
                    <w:snapToGrid w:val="0"/>
                    <w:spacing w:line="360" w:lineRule="exact"/>
                    <w:contextualSpacing/>
                    <w:jc w:val="center"/>
                    <w:rPr>
                      <w:szCs w:val="21"/>
                    </w:rPr>
                  </w:pPr>
                  <w:r>
                    <w:rPr>
                      <w:rFonts w:hint="eastAsia"/>
                      <w:kern w:val="0"/>
                      <w:szCs w:val="21"/>
                    </w:rPr>
                    <w:t>DN1200</w:t>
                  </w:r>
                </w:p>
              </w:tc>
              <w:tc>
                <w:tcPr>
                  <w:tcW w:w="837" w:type="dxa"/>
                  <w:vAlign w:val="center"/>
                </w:tcPr>
                <w:p>
                  <w:pPr>
                    <w:snapToGrid w:val="0"/>
                    <w:spacing w:line="360" w:lineRule="exact"/>
                    <w:contextualSpacing/>
                    <w:jc w:val="center"/>
                    <w:rPr>
                      <w:szCs w:val="21"/>
                    </w:rPr>
                  </w:pPr>
                  <w:r>
                    <w:rPr>
                      <w:szCs w:val="21"/>
                    </w:rPr>
                    <w:t>m</w:t>
                  </w:r>
                </w:p>
              </w:tc>
              <w:tc>
                <w:tcPr>
                  <w:tcW w:w="985" w:type="dxa"/>
                  <w:vAlign w:val="center"/>
                </w:tcPr>
                <w:p>
                  <w:pPr>
                    <w:snapToGrid w:val="0"/>
                    <w:spacing w:line="360" w:lineRule="exact"/>
                    <w:contextualSpacing/>
                    <w:jc w:val="center"/>
                    <w:rPr>
                      <w:szCs w:val="21"/>
                    </w:rPr>
                  </w:pPr>
                  <w:r>
                    <w:rPr>
                      <w:rFonts w:hint="eastAsia"/>
                      <w:szCs w:val="21"/>
                    </w:rPr>
                    <w:t>2790</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Merge w:val="continue"/>
                  <w:vAlign w:val="center"/>
                </w:tcPr>
                <w:p>
                  <w:pPr>
                    <w:snapToGrid w:val="0"/>
                    <w:spacing w:line="360" w:lineRule="exact"/>
                    <w:contextualSpacing/>
                    <w:jc w:val="center"/>
                    <w:rPr>
                      <w:szCs w:val="21"/>
                    </w:rPr>
                  </w:pPr>
                </w:p>
              </w:tc>
              <w:tc>
                <w:tcPr>
                  <w:tcW w:w="1706" w:type="dxa"/>
                  <w:vMerge w:val="continue"/>
                  <w:vAlign w:val="center"/>
                </w:tcPr>
                <w:p>
                  <w:pPr>
                    <w:snapToGrid w:val="0"/>
                    <w:spacing w:line="360" w:lineRule="exact"/>
                    <w:contextualSpacing/>
                    <w:jc w:val="center"/>
                    <w:rPr>
                      <w:szCs w:val="21"/>
                    </w:rPr>
                  </w:pPr>
                </w:p>
              </w:tc>
              <w:tc>
                <w:tcPr>
                  <w:tcW w:w="1706" w:type="dxa"/>
                  <w:vAlign w:val="center"/>
                </w:tcPr>
                <w:p>
                  <w:pPr>
                    <w:snapToGrid w:val="0"/>
                    <w:spacing w:line="360" w:lineRule="exact"/>
                    <w:contextualSpacing/>
                    <w:jc w:val="center"/>
                    <w:rPr>
                      <w:szCs w:val="21"/>
                    </w:rPr>
                  </w:pPr>
                  <w:r>
                    <w:rPr>
                      <w:rFonts w:hint="eastAsia"/>
                      <w:kern w:val="0"/>
                      <w:szCs w:val="21"/>
                    </w:rPr>
                    <w:t>DN1400</w:t>
                  </w:r>
                </w:p>
              </w:tc>
              <w:tc>
                <w:tcPr>
                  <w:tcW w:w="837" w:type="dxa"/>
                  <w:vAlign w:val="center"/>
                </w:tcPr>
                <w:p>
                  <w:pPr>
                    <w:snapToGrid w:val="0"/>
                    <w:spacing w:line="360" w:lineRule="exact"/>
                    <w:contextualSpacing/>
                    <w:jc w:val="center"/>
                    <w:rPr>
                      <w:szCs w:val="21"/>
                    </w:rPr>
                  </w:pPr>
                  <w:r>
                    <w:rPr>
                      <w:szCs w:val="21"/>
                    </w:rPr>
                    <w:t>m</w:t>
                  </w:r>
                </w:p>
              </w:tc>
              <w:tc>
                <w:tcPr>
                  <w:tcW w:w="985" w:type="dxa"/>
                  <w:vAlign w:val="center"/>
                </w:tcPr>
                <w:p>
                  <w:pPr>
                    <w:snapToGrid w:val="0"/>
                    <w:spacing w:line="360" w:lineRule="exact"/>
                    <w:contextualSpacing/>
                    <w:jc w:val="center"/>
                    <w:rPr>
                      <w:szCs w:val="21"/>
                    </w:rPr>
                  </w:pPr>
                  <w:r>
                    <w:rPr>
                      <w:rFonts w:hint="eastAsia"/>
                      <w:szCs w:val="21"/>
                    </w:rPr>
                    <w:t>1684</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exact"/>
                <w:jc w:val="center"/>
              </w:trPr>
              <w:tc>
                <w:tcPr>
                  <w:tcW w:w="756" w:type="dxa"/>
                  <w:vAlign w:val="center"/>
                </w:tcPr>
                <w:p>
                  <w:pPr>
                    <w:snapToGrid w:val="0"/>
                    <w:spacing w:line="360" w:lineRule="exact"/>
                    <w:contextualSpacing/>
                    <w:jc w:val="center"/>
                    <w:rPr>
                      <w:szCs w:val="21"/>
                    </w:rPr>
                  </w:pPr>
                  <w:r>
                    <w:rPr>
                      <w:rFonts w:hint="eastAsia"/>
                      <w:szCs w:val="21"/>
                    </w:rPr>
                    <w:t>3</w:t>
                  </w:r>
                </w:p>
              </w:tc>
              <w:tc>
                <w:tcPr>
                  <w:tcW w:w="3412" w:type="dxa"/>
                  <w:gridSpan w:val="2"/>
                  <w:vAlign w:val="center"/>
                </w:tcPr>
                <w:p>
                  <w:pPr>
                    <w:snapToGrid w:val="0"/>
                    <w:spacing w:line="360" w:lineRule="exact"/>
                    <w:contextualSpacing/>
                    <w:jc w:val="center"/>
                    <w:rPr>
                      <w:szCs w:val="21"/>
                    </w:rPr>
                  </w:pPr>
                  <w:r>
                    <w:rPr>
                      <w:szCs w:val="21"/>
                    </w:rPr>
                    <w:t>总投资估算</w:t>
                  </w:r>
                </w:p>
              </w:tc>
              <w:tc>
                <w:tcPr>
                  <w:tcW w:w="837" w:type="dxa"/>
                  <w:vAlign w:val="center"/>
                </w:tcPr>
                <w:p>
                  <w:pPr>
                    <w:snapToGrid w:val="0"/>
                    <w:spacing w:line="360" w:lineRule="exact"/>
                    <w:contextualSpacing/>
                    <w:jc w:val="center"/>
                    <w:rPr>
                      <w:szCs w:val="21"/>
                    </w:rPr>
                  </w:pPr>
                  <w:r>
                    <w:rPr>
                      <w:szCs w:val="21"/>
                    </w:rPr>
                    <w:t>万元</w:t>
                  </w:r>
                </w:p>
              </w:tc>
              <w:tc>
                <w:tcPr>
                  <w:tcW w:w="985" w:type="dxa"/>
                  <w:vAlign w:val="center"/>
                </w:tcPr>
                <w:p>
                  <w:pPr>
                    <w:snapToGrid w:val="0"/>
                    <w:spacing w:line="360" w:lineRule="exact"/>
                    <w:contextualSpacing/>
                    <w:jc w:val="center"/>
                    <w:rPr>
                      <w:szCs w:val="21"/>
                    </w:rPr>
                  </w:pPr>
                  <w:r>
                    <w:rPr>
                      <w:rFonts w:hint="eastAsia"/>
                      <w:szCs w:val="21"/>
                    </w:rPr>
                    <w:t>8383.04</w:t>
                  </w:r>
                </w:p>
              </w:tc>
              <w:tc>
                <w:tcPr>
                  <w:tcW w:w="3190" w:type="dxa"/>
                  <w:vAlign w:val="center"/>
                </w:tcPr>
                <w:p>
                  <w:pPr>
                    <w:snapToGrid w:val="0"/>
                    <w:spacing w:line="360" w:lineRule="exact"/>
                    <w:contextualSpacing/>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453" w:hRule="exact"/>
                <w:jc w:val="center"/>
              </w:trPr>
              <w:tc>
                <w:tcPr>
                  <w:tcW w:w="756" w:type="dxa"/>
                  <w:vAlign w:val="center"/>
                </w:tcPr>
                <w:p>
                  <w:pPr>
                    <w:snapToGrid w:val="0"/>
                    <w:spacing w:line="360" w:lineRule="exact"/>
                    <w:contextualSpacing/>
                    <w:jc w:val="center"/>
                    <w:rPr>
                      <w:szCs w:val="21"/>
                    </w:rPr>
                  </w:pPr>
                  <w:r>
                    <w:rPr>
                      <w:rFonts w:hint="eastAsia"/>
                      <w:szCs w:val="21"/>
                    </w:rPr>
                    <w:t>4</w:t>
                  </w:r>
                </w:p>
              </w:tc>
              <w:tc>
                <w:tcPr>
                  <w:tcW w:w="3412" w:type="dxa"/>
                  <w:gridSpan w:val="2"/>
                  <w:vAlign w:val="center"/>
                </w:tcPr>
                <w:p>
                  <w:pPr>
                    <w:snapToGrid w:val="0"/>
                    <w:spacing w:line="360" w:lineRule="exact"/>
                    <w:contextualSpacing/>
                    <w:jc w:val="center"/>
                    <w:rPr>
                      <w:szCs w:val="21"/>
                    </w:rPr>
                  </w:pPr>
                  <w:r>
                    <w:rPr>
                      <w:szCs w:val="21"/>
                    </w:rPr>
                    <w:t>建设工期</w:t>
                  </w:r>
                </w:p>
              </w:tc>
              <w:tc>
                <w:tcPr>
                  <w:tcW w:w="837" w:type="dxa"/>
                  <w:vAlign w:val="center"/>
                </w:tcPr>
                <w:p>
                  <w:pPr>
                    <w:snapToGrid w:val="0"/>
                    <w:spacing w:line="360" w:lineRule="exact"/>
                    <w:contextualSpacing/>
                    <w:jc w:val="center"/>
                    <w:rPr>
                      <w:szCs w:val="21"/>
                    </w:rPr>
                  </w:pPr>
                  <w:r>
                    <w:rPr>
                      <w:szCs w:val="21"/>
                    </w:rPr>
                    <w:t>月</w:t>
                  </w:r>
                </w:p>
              </w:tc>
              <w:tc>
                <w:tcPr>
                  <w:tcW w:w="985" w:type="dxa"/>
                  <w:vAlign w:val="center"/>
                </w:tcPr>
                <w:p>
                  <w:pPr>
                    <w:snapToGrid w:val="0"/>
                    <w:spacing w:line="360" w:lineRule="exact"/>
                    <w:contextualSpacing/>
                    <w:jc w:val="center"/>
                    <w:rPr>
                      <w:szCs w:val="21"/>
                    </w:rPr>
                  </w:pPr>
                  <w:r>
                    <w:rPr>
                      <w:rFonts w:hint="eastAsia"/>
                      <w:szCs w:val="21"/>
                    </w:rPr>
                    <w:t>12</w:t>
                  </w:r>
                </w:p>
              </w:tc>
              <w:tc>
                <w:tcPr>
                  <w:tcW w:w="3190" w:type="dxa"/>
                  <w:vAlign w:val="center"/>
                </w:tcPr>
                <w:p>
                  <w:pPr>
                    <w:snapToGrid w:val="0"/>
                    <w:spacing w:line="360" w:lineRule="exact"/>
                    <w:contextualSpacing/>
                    <w:jc w:val="center"/>
                    <w:rPr>
                      <w:szCs w:val="21"/>
                    </w:rPr>
                  </w:pPr>
                  <w:r>
                    <w:rPr>
                      <w:szCs w:val="21"/>
                    </w:rPr>
                    <w:t>201</w:t>
                  </w:r>
                  <w:r>
                    <w:rPr>
                      <w:rFonts w:hint="eastAsia"/>
                      <w:szCs w:val="21"/>
                    </w:rPr>
                    <w:t>8</w:t>
                  </w:r>
                  <w:r>
                    <w:rPr>
                      <w:szCs w:val="21"/>
                    </w:rPr>
                    <w:t>年</w:t>
                  </w:r>
                  <w:r>
                    <w:rPr>
                      <w:rFonts w:hint="eastAsia"/>
                      <w:szCs w:val="21"/>
                    </w:rPr>
                    <w:t>7</w:t>
                  </w:r>
                  <w:r>
                    <w:rPr>
                      <w:szCs w:val="21"/>
                    </w:rPr>
                    <w:t>月</w:t>
                  </w:r>
                  <w:r>
                    <w:rPr>
                      <w:rFonts w:hint="eastAsia"/>
                      <w:szCs w:val="21"/>
                    </w:rPr>
                    <w:t>~</w:t>
                  </w:r>
                  <w:r>
                    <w:rPr>
                      <w:szCs w:val="21"/>
                    </w:rPr>
                    <w:t>20</w:t>
                  </w:r>
                  <w:r>
                    <w:rPr>
                      <w:rFonts w:hint="eastAsia"/>
                      <w:szCs w:val="21"/>
                    </w:rPr>
                    <w:t>19</w:t>
                  </w:r>
                  <w:r>
                    <w:rPr>
                      <w:szCs w:val="21"/>
                    </w:rPr>
                    <w:t>年</w:t>
                  </w:r>
                  <w:r>
                    <w:rPr>
                      <w:rFonts w:hint="eastAsia"/>
                      <w:szCs w:val="21"/>
                    </w:rPr>
                    <w:t>7</w:t>
                  </w:r>
                  <w:r>
                    <w:rPr>
                      <w:szCs w:val="21"/>
                    </w:rPr>
                    <w:t>月</w:t>
                  </w:r>
                </w:p>
              </w:tc>
            </w:tr>
          </w:tbl>
          <w:p>
            <w:pPr>
              <w:pStyle w:val="5"/>
              <w:adjustRightInd/>
              <w:spacing w:beforeLines="0" w:line="520" w:lineRule="exact"/>
              <w:ind w:firstLine="482"/>
              <w:contextualSpacing/>
              <w:rPr>
                <w:b/>
              </w:rPr>
            </w:pPr>
            <w:r>
              <w:rPr>
                <w:b/>
              </w:rPr>
              <w:t>2.</w:t>
            </w:r>
            <w:r>
              <w:rPr>
                <w:rFonts w:hint="eastAsia"/>
                <w:b/>
              </w:rPr>
              <w:t>2</w:t>
            </w:r>
            <w:r>
              <w:rPr>
                <w:b/>
              </w:rPr>
              <w:t>、</w:t>
            </w:r>
            <w:r>
              <w:rPr>
                <w:rFonts w:hint="eastAsia"/>
                <w:b/>
              </w:rPr>
              <w:t>施工主要设备</w:t>
            </w:r>
          </w:p>
          <w:p>
            <w:pPr>
              <w:snapToGrid w:val="0"/>
              <w:spacing w:line="520" w:lineRule="exact"/>
              <w:ind w:firstLine="480" w:firstLineChars="200"/>
              <w:contextualSpacing/>
              <w:rPr>
                <w:kern w:val="0"/>
                <w:sz w:val="24"/>
                <w:szCs w:val="24"/>
              </w:rPr>
            </w:pPr>
            <w:r>
              <w:rPr>
                <w:rFonts w:hint="eastAsia"/>
                <w:kern w:val="0"/>
                <w:sz w:val="24"/>
                <w:szCs w:val="24"/>
              </w:rPr>
              <w:t>施工主要设备详见表1-3。</w:t>
            </w:r>
          </w:p>
          <w:p>
            <w:pPr>
              <w:snapToGrid w:val="0"/>
              <w:spacing w:line="520" w:lineRule="exact"/>
              <w:contextualSpacing/>
              <w:jc w:val="center"/>
              <w:rPr>
                <w:b/>
                <w:sz w:val="24"/>
                <w:szCs w:val="24"/>
              </w:rPr>
            </w:pPr>
            <w:r>
              <w:rPr>
                <w:rFonts w:hint="eastAsia"/>
                <w:b/>
                <w:sz w:val="24"/>
                <w:szCs w:val="24"/>
              </w:rPr>
              <w:t>表1-3   施工主要设备一览表</w:t>
            </w:r>
          </w:p>
          <w:tbl>
            <w:tblPr>
              <w:tblStyle w:val="19"/>
              <w:tblW w:w="906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1"/>
              <w:gridCol w:w="2024"/>
              <w:gridCol w:w="1661"/>
              <w:gridCol w:w="2024"/>
              <w:gridCol w:w="21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171" w:type="dxa"/>
                  <w:vAlign w:val="center"/>
                </w:tcPr>
                <w:p>
                  <w:pPr>
                    <w:snapToGrid w:val="0"/>
                    <w:spacing w:line="360" w:lineRule="exact"/>
                    <w:contextualSpacing/>
                    <w:jc w:val="center"/>
                    <w:rPr>
                      <w:szCs w:val="21"/>
                    </w:rPr>
                  </w:pPr>
                  <w:r>
                    <w:rPr>
                      <w:rFonts w:hint="eastAsia"/>
                      <w:szCs w:val="21"/>
                    </w:rPr>
                    <w:t>编号</w:t>
                  </w:r>
                </w:p>
              </w:tc>
              <w:tc>
                <w:tcPr>
                  <w:tcW w:w="2024" w:type="dxa"/>
                  <w:vAlign w:val="center"/>
                </w:tcPr>
                <w:p>
                  <w:pPr>
                    <w:snapToGrid w:val="0"/>
                    <w:spacing w:line="360" w:lineRule="exact"/>
                    <w:contextualSpacing/>
                    <w:jc w:val="center"/>
                    <w:rPr>
                      <w:szCs w:val="21"/>
                    </w:rPr>
                  </w:pPr>
                  <w:r>
                    <w:rPr>
                      <w:rFonts w:hint="eastAsia"/>
                      <w:szCs w:val="21"/>
                    </w:rPr>
                    <w:t>设备名称</w:t>
                  </w:r>
                </w:p>
              </w:tc>
              <w:tc>
                <w:tcPr>
                  <w:tcW w:w="1661" w:type="dxa"/>
                  <w:vAlign w:val="center"/>
                </w:tcPr>
                <w:p>
                  <w:pPr>
                    <w:snapToGrid w:val="0"/>
                    <w:spacing w:line="360" w:lineRule="exact"/>
                    <w:contextualSpacing/>
                    <w:jc w:val="center"/>
                    <w:rPr>
                      <w:szCs w:val="21"/>
                    </w:rPr>
                  </w:pPr>
                  <w:r>
                    <w:rPr>
                      <w:rFonts w:hint="eastAsia"/>
                      <w:szCs w:val="21"/>
                    </w:rPr>
                    <w:t>规格型号</w:t>
                  </w:r>
                </w:p>
              </w:tc>
              <w:tc>
                <w:tcPr>
                  <w:tcW w:w="2024" w:type="dxa"/>
                  <w:vAlign w:val="center"/>
                </w:tcPr>
                <w:p>
                  <w:pPr>
                    <w:snapToGrid w:val="0"/>
                    <w:spacing w:line="360" w:lineRule="exact"/>
                    <w:contextualSpacing/>
                    <w:jc w:val="center"/>
                    <w:rPr>
                      <w:szCs w:val="21"/>
                    </w:rPr>
                  </w:pPr>
                  <w:r>
                    <w:rPr>
                      <w:rFonts w:hint="eastAsia"/>
                      <w:szCs w:val="21"/>
                    </w:rPr>
                    <w:t>单位</w:t>
                  </w:r>
                </w:p>
              </w:tc>
              <w:tc>
                <w:tcPr>
                  <w:tcW w:w="2180" w:type="dxa"/>
                  <w:vAlign w:val="center"/>
                </w:tcPr>
                <w:p>
                  <w:pPr>
                    <w:snapToGrid w:val="0"/>
                    <w:spacing w:line="360" w:lineRule="exact"/>
                    <w:contextualSpacing/>
                    <w:jc w:val="center"/>
                    <w:rPr>
                      <w:szCs w:val="21"/>
                    </w:rPr>
                  </w:pPr>
                  <w:r>
                    <w:rPr>
                      <w:rFonts w:hint="eastAsia"/>
                      <w:szCs w:val="21"/>
                    </w:rPr>
                    <w:t>数量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1171" w:type="dxa"/>
                  <w:vAlign w:val="center"/>
                </w:tcPr>
                <w:p>
                  <w:pPr>
                    <w:snapToGrid w:val="0"/>
                    <w:spacing w:line="360" w:lineRule="exact"/>
                    <w:contextualSpacing/>
                    <w:jc w:val="center"/>
                    <w:rPr>
                      <w:szCs w:val="21"/>
                    </w:rPr>
                  </w:pPr>
                  <w:r>
                    <w:rPr>
                      <w:rFonts w:hint="eastAsia"/>
                      <w:szCs w:val="21"/>
                    </w:rPr>
                    <w:t>1</w:t>
                  </w:r>
                </w:p>
              </w:tc>
              <w:tc>
                <w:tcPr>
                  <w:tcW w:w="2024" w:type="dxa"/>
                  <w:vAlign w:val="center"/>
                </w:tcPr>
                <w:p>
                  <w:pPr>
                    <w:snapToGrid w:val="0"/>
                    <w:spacing w:line="360" w:lineRule="exact"/>
                    <w:contextualSpacing/>
                    <w:jc w:val="center"/>
                    <w:rPr>
                      <w:szCs w:val="21"/>
                    </w:rPr>
                  </w:pPr>
                  <w:r>
                    <w:rPr>
                      <w:rFonts w:hint="eastAsia"/>
                      <w:szCs w:val="21"/>
                    </w:rPr>
                    <w:t>空压机</w:t>
                  </w:r>
                </w:p>
              </w:tc>
              <w:tc>
                <w:tcPr>
                  <w:tcW w:w="1661" w:type="dxa"/>
                  <w:vAlign w:val="center"/>
                </w:tcPr>
                <w:p>
                  <w:pPr>
                    <w:snapToGrid w:val="0"/>
                    <w:spacing w:line="360" w:lineRule="exact"/>
                    <w:contextualSpacing/>
                    <w:jc w:val="center"/>
                    <w:rPr>
                      <w:szCs w:val="21"/>
                    </w:rPr>
                  </w:pPr>
                  <w:r>
                    <w:rPr>
                      <w:rFonts w:hint="eastAsia"/>
                      <w:szCs w:val="21"/>
                    </w:rPr>
                    <w:t>/</w:t>
                  </w:r>
                </w:p>
              </w:tc>
              <w:tc>
                <w:tcPr>
                  <w:tcW w:w="2024" w:type="dxa"/>
                  <w:vAlign w:val="center"/>
                </w:tcPr>
                <w:p>
                  <w:pPr>
                    <w:snapToGrid w:val="0"/>
                    <w:spacing w:line="360" w:lineRule="exact"/>
                    <w:contextualSpacing/>
                    <w:jc w:val="center"/>
                    <w:rPr>
                      <w:szCs w:val="21"/>
                    </w:rPr>
                  </w:pPr>
                  <w:r>
                    <w:rPr>
                      <w:rFonts w:hint="eastAsia"/>
                      <w:szCs w:val="21"/>
                    </w:rPr>
                    <w:t>台</w:t>
                  </w:r>
                </w:p>
              </w:tc>
              <w:tc>
                <w:tcPr>
                  <w:tcW w:w="2180" w:type="dxa"/>
                  <w:vAlign w:val="center"/>
                </w:tcPr>
                <w:p>
                  <w:pPr>
                    <w:snapToGrid w:val="0"/>
                    <w:spacing w:line="360" w:lineRule="exact"/>
                    <w:contextualSpacing/>
                    <w:jc w:val="center"/>
                    <w:rPr>
                      <w:szCs w:val="21"/>
                    </w:rPr>
                  </w:pPr>
                  <w:r>
                    <w:rPr>
                      <w:rFonts w:hint="eastAsia"/>
                      <w:szCs w:val="21"/>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1171" w:type="dxa"/>
                  <w:vAlign w:val="center"/>
                </w:tcPr>
                <w:p>
                  <w:pPr>
                    <w:snapToGrid w:val="0"/>
                    <w:spacing w:line="360" w:lineRule="exact"/>
                    <w:contextualSpacing/>
                    <w:jc w:val="center"/>
                    <w:rPr>
                      <w:szCs w:val="21"/>
                    </w:rPr>
                  </w:pPr>
                  <w:r>
                    <w:rPr>
                      <w:rFonts w:hint="eastAsia"/>
                      <w:szCs w:val="21"/>
                    </w:rPr>
                    <w:t>2</w:t>
                  </w:r>
                </w:p>
              </w:tc>
              <w:tc>
                <w:tcPr>
                  <w:tcW w:w="2024" w:type="dxa"/>
                  <w:vAlign w:val="center"/>
                </w:tcPr>
                <w:p>
                  <w:pPr>
                    <w:snapToGrid w:val="0"/>
                    <w:spacing w:line="360" w:lineRule="exact"/>
                    <w:contextualSpacing/>
                    <w:jc w:val="center"/>
                    <w:rPr>
                      <w:szCs w:val="21"/>
                    </w:rPr>
                  </w:pPr>
                  <w:r>
                    <w:rPr>
                      <w:rFonts w:hint="eastAsia"/>
                      <w:szCs w:val="21"/>
                    </w:rPr>
                    <w:t>起重机</w:t>
                  </w:r>
                </w:p>
              </w:tc>
              <w:tc>
                <w:tcPr>
                  <w:tcW w:w="1661" w:type="dxa"/>
                  <w:vAlign w:val="center"/>
                </w:tcPr>
                <w:p>
                  <w:pPr>
                    <w:snapToGrid w:val="0"/>
                    <w:spacing w:line="360" w:lineRule="exact"/>
                    <w:contextualSpacing/>
                    <w:jc w:val="center"/>
                    <w:rPr>
                      <w:szCs w:val="21"/>
                    </w:rPr>
                  </w:pPr>
                  <w:r>
                    <w:rPr>
                      <w:rFonts w:hint="eastAsia"/>
                      <w:szCs w:val="21"/>
                    </w:rPr>
                    <w:t>/</w:t>
                  </w:r>
                </w:p>
              </w:tc>
              <w:tc>
                <w:tcPr>
                  <w:tcW w:w="2024" w:type="dxa"/>
                </w:tcPr>
                <w:p>
                  <w:pPr>
                    <w:snapToGrid w:val="0"/>
                    <w:spacing w:line="360" w:lineRule="exact"/>
                    <w:contextualSpacing/>
                    <w:jc w:val="center"/>
                    <w:rPr>
                      <w:szCs w:val="21"/>
                    </w:rPr>
                  </w:pPr>
                  <w:r>
                    <w:rPr>
                      <w:rFonts w:hint="eastAsia"/>
                      <w:szCs w:val="21"/>
                    </w:rPr>
                    <w:t>台</w:t>
                  </w:r>
                </w:p>
              </w:tc>
              <w:tc>
                <w:tcPr>
                  <w:tcW w:w="2180" w:type="dxa"/>
                  <w:vAlign w:val="center"/>
                </w:tcPr>
                <w:p>
                  <w:pPr>
                    <w:snapToGrid w:val="0"/>
                    <w:spacing w:line="360" w:lineRule="exact"/>
                    <w:contextualSpacing/>
                    <w:jc w:val="center"/>
                    <w:rPr>
                      <w:szCs w:val="21"/>
                    </w:rPr>
                  </w:pPr>
                  <w:r>
                    <w:rPr>
                      <w:rFonts w:hint="eastAsia"/>
                      <w:szCs w:val="21"/>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1171" w:type="dxa"/>
                  <w:vAlign w:val="center"/>
                </w:tcPr>
                <w:p>
                  <w:pPr>
                    <w:snapToGrid w:val="0"/>
                    <w:spacing w:line="360" w:lineRule="exact"/>
                    <w:contextualSpacing/>
                    <w:jc w:val="center"/>
                    <w:rPr>
                      <w:szCs w:val="21"/>
                    </w:rPr>
                  </w:pPr>
                  <w:r>
                    <w:rPr>
                      <w:rFonts w:hint="eastAsia"/>
                      <w:szCs w:val="21"/>
                    </w:rPr>
                    <w:t>3</w:t>
                  </w:r>
                </w:p>
              </w:tc>
              <w:tc>
                <w:tcPr>
                  <w:tcW w:w="2024" w:type="dxa"/>
                  <w:vAlign w:val="center"/>
                </w:tcPr>
                <w:p>
                  <w:pPr>
                    <w:snapToGrid w:val="0"/>
                    <w:spacing w:line="360" w:lineRule="exact"/>
                    <w:contextualSpacing/>
                    <w:jc w:val="center"/>
                    <w:rPr>
                      <w:szCs w:val="21"/>
                    </w:rPr>
                  </w:pPr>
                  <w:r>
                    <w:rPr>
                      <w:rFonts w:hint="eastAsia"/>
                      <w:szCs w:val="21"/>
                    </w:rPr>
                    <w:t>装载机</w:t>
                  </w:r>
                </w:p>
              </w:tc>
              <w:tc>
                <w:tcPr>
                  <w:tcW w:w="1661" w:type="dxa"/>
                  <w:vAlign w:val="center"/>
                </w:tcPr>
                <w:p>
                  <w:pPr>
                    <w:snapToGrid w:val="0"/>
                    <w:spacing w:line="360" w:lineRule="exact"/>
                    <w:contextualSpacing/>
                    <w:jc w:val="center"/>
                    <w:rPr>
                      <w:szCs w:val="21"/>
                    </w:rPr>
                  </w:pPr>
                  <w:r>
                    <w:rPr>
                      <w:rFonts w:hint="eastAsia"/>
                      <w:szCs w:val="21"/>
                    </w:rPr>
                    <w:t>/</w:t>
                  </w:r>
                </w:p>
              </w:tc>
              <w:tc>
                <w:tcPr>
                  <w:tcW w:w="2024" w:type="dxa"/>
                </w:tcPr>
                <w:p>
                  <w:pPr>
                    <w:snapToGrid w:val="0"/>
                    <w:spacing w:line="360" w:lineRule="exact"/>
                    <w:contextualSpacing/>
                    <w:jc w:val="center"/>
                    <w:rPr>
                      <w:szCs w:val="21"/>
                    </w:rPr>
                  </w:pPr>
                  <w:r>
                    <w:rPr>
                      <w:rFonts w:hint="eastAsia"/>
                      <w:szCs w:val="21"/>
                    </w:rPr>
                    <w:t>台</w:t>
                  </w:r>
                </w:p>
              </w:tc>
              <w:tc>
                <w:tcPr>
                  <w:tcW w:w="2180" w:type="dxa"/>
                  <w:vAlign w:val="center"/>
                </w:tcPr>
                <w:p>
                  <w:pPr>
                    <w:snapToGrid w:val="0"/>
                    <w:spacing w:line="360" w:lineRule="exact"/>
                    <w:contextualSpacing/>
                    <w:jc w:val="center"/>
                    <w:rPr>
                      <w:szCs w:val="21"/>
                    </w:rPr>
                  </w:pPr>
                  <w:r>
                    <w:rPr>
                      <w:rFonts w:hint="eastAsia"/>
                      <w:szCs w:val="21"/>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1171" w:type="dxa"/>
                  <w:vAlign w:val="center"/>
                </w:tcPr>
                <w:p>
                  <w:pPr>
                    <w:snapToGrid w:val="0"/>
                    <w:spacing w:line="360" w:lineRule="exact"/>
                    <w:contextualSpacing/>
                    <w:jc w:val="center"/>
                    <w:rPr>
                      <w:szCs w:val="21"/>
                    </w:rPr>
                  </w:pPr>
                  <w:r>
                    <w:rPr>
                      <w:rFonts w:hint="eastAsia"/>
                      <w:szCs w:val="21"/>
                    </w:rPr>
                    <w:t>4</w:t>
                  </w:r>
                </w:p>
              </w:tc>
              <w:tc>
                <w:tcPr>
                  <w:tcW w:w="2024" w:type="dxa"/>
                  <w:vAlign w:val="center"/>
                </w:tcPr>
                <w:p>
                  <w:pPr>
                    <w:snapToGrid w:val="0"/>
                    <w:spacing w:line="360" w:lineRule="exact"/>
                    <w:contextualSpacing/>
                    <w:jc w:val="center"/>
                    <w:rPr>
                      <w:szCs w:val="21"/>
                    </w:rPr>
                  </w:pPr>
                  <w:r>
                    <w:rPr>
                      <w:rFonts w:hint="eastAsia"/>
                      <w:szCs w:val="21"/>
                    </w:rPr>
                    <w:t>电焊机</w:t>
                  </w:r>
                </w:p>
              </w:tc>
              <w:tc>
                <w:tcPr>
                  <w:tcW w:w="1661" w:type="dxa"/>
                  <w:vAlign w:val="center"/>
                </w:tcPr>
                <w:p>
                  <w:pPr>
                    <w:snapToGrid w:val="0"/>
                    <w:spacing w:line="360" w:lineRule="exact"/>
                    <w:contextualSpacing/>
                    <w:jc w:val="center"/>
                    <w:rPr>
                      <w:szCs w:val="21"/>
                    </w:rPr>
                  </w:pPr>
                  <w:r>
                    <w:rPr>
                      <w:rFonts w:hint="eastAsia"/>
                      <w:szCs w:val="21"/>
                    </w:rPr>
                    <w:t>/</w:t>
                  </w:r>
                </w:p>
              </w:tc>
              <w:tc>
                <w:tcPr>
                  <w:tcW w:w="2024" w:type="dxa"/>
                </w:tcPr>
                <w:p>
                  <w:pPr>
                    <w:snapToGrid w:val="0"/>
                    <w:spacing w:line="360" w:lineRule="exact"/>
                    <w:contextualSpacing/>
                    <w:jc w:val="center"/>
                    <w:rPr>
                      <w:szCs w:val="21"/>
                    </w:rPr>
                  </w:pPr>
                  <w:r>
                    <w:rPr>
                      <w:rFonts w:hint="eastAsia"/>
                      <w:szCs w:val="21"/>
                    </w:rPr>
                    <w:t>台</w:t>
                  </w:r>
                </w:p>
              </w:tc>
              <w:tc>
                <w:tcPr>
                  <w:tcW w:w="2180" w:type="dxa"/>
                  <w:vAlign w:val="center"/>
                </w:tcPr>
                <w:p>
                  <w:pPr>
                    <w:snapToGrid w:val="0"/>
                    <w:spacing w:line="360" w:lineRule="exact"/>
                    <w:contextualSpacing/>
                    <w:jc w:val="center"/>
                    <w:rPr>
                      <w:szCs w:val="21"/>
                    </w:rPr>
                  </w:pPr>
                  <w:r>
                    <w:rPr>
                      <w:rFonts w:hint="eastAsia"/>
                      <w:szCs w:val="21"/>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2" w:hRule="atLeast"/>
                <w:jc w:val="center"/>
              </w:trPr>
              <w:tc>
                <w:tcPr>
                  <w:tcW w:w="1171" w:type="dxa"/>
                  <w:vAlign w:val="center"/>
                </w:tcPr>
                <w:p>
                  <w:pPr>
                    <w:snapToGrid w:val="0"/>
                    <w:spacing w:line="360" w:lineRule="exact"/>
                    <w:contextualSpacing/>
                    <w:jc w:val="center"/>
                    <w:rPr>
                      <w:szCs w:val="21"/>
                    </w:rPr>
                  </w:pPr>
                  <w:r>
                    <w:rPr>
                      <w:rFonts w:hint="eastAsia"/>
                      <w:szCs w:val="21"/>
                    </w:rPr>
                    <w:t>5</w:t>
                  </w:r>
                </w:p>
              </w:tc>
              <w:tc>
                <w:tcPr>
                  <w:tcW w:w="2024" w:type="dxa"/>
                  <w:vAlign w:val="center"/>
                </w:tcPr>
                <w:p>
                  <w:pPr>
                    <w:snapToGrid w:val="0"/>
                    <w:spacing w:line="360" w:lineRule="exact"/>
                    <w:contextualSpacing/>
                    <w:jc w:val="center"/>
                    <w:rPr>
                      <w:szCs w:val="21"/>
                    </w:rPr>
                  </w:pPr>
                  <w:r>
                    <w:rPr>
                      <w:rFonts w:hint="eastAsia"/>
                      <w:szCs w:val="21"/>
                    </w:rPr>
                    <w:t>自卸卡车</w:t>
                  </w:r>
                </w:p>
              </w:tc>
              <w:tc>
                <w:tcPr>
                  <w:tcW w:w="1661" w:type="dxa"/>
                  <w:vAlign w:val="center"/>
                </w:tcPr>
                <w:p>
                  <w:pPr>
                    <w:snapToGrid w:val="0"/>
                    <w:spacing w:line="360" w:lineRule="exact"/>
                    <w:contextualSpacing/>
                    <w:jc w:val="center"/>
                    <w:rPr>
                      <w:szCs w:val="21"/>
                    </w:rPr>
                  </w:pPr>
                  <w:r>
                    <w:rPr>
                      <w:rFonts w:hint="eastAsia"/>
                      <w:szCs w:val="21"/>
                    </w:rPr>
                    <w:t>/</w:t>
                  </w:r>
                </w:p>
              </w:tc>
              <w:tc>
                <w:tcPr>
                  <w:tcW w:w="2024" w:type="dxa"/>
                  <w:vAlign w:val="center"/>
                </w:tcPr>
                <w:p>
                  <w:pPr>
                    <w:snapToGrid w:val="0"/>
                    <w:spacing w:line="360" w:lineRule="exact"/>
                    <w:contextualSpacing/>
                    <w:jc w:val="center"/>
                    <w:rPr>
                      <w:szCs w:val="21"/>
                    </w:rPr>
                  </w:pPr>
                  <w:r>
                    <w:rPr>
                      <w:rFonts w:hint="eastAsia"/>
                      <w:szCs w:val="21"/>
                    </w:rPr>
                    <w:t>辆</w:t>
                  </w:r>
                </w:p>
              </w:tc>
              <w:tc>
                <w:tcPr>
                  <w:tcW w:w="2180" w:type="dxa"/>
                  <w:vAlign w:val="center"/>
                </w:tcPr>
                <w:p>
                  <w:pPr>
                    <w:snapToGrid w:val="0"/>
                    <w:spacing w:line="360" w:lineRule="exact"/>
                    <w:contextualSpacing/>
                    <w:jc w:val="center"/>
                    <w:rPr>
                      <w:szCs w:val="21"/>
                    </w:rPr>
                  </w:pPr>
                  <w:r>
                    <w:rPr>
                      <w:rFonts w:hint="eastAsia"/>
                      <w:szCs w:val="21"/>
                    </w:rPr>
                    <w:t>2</w:t>
                  </w:r>
                </w:p>
              </w:tc>
            </w:tr>
          </w:tbl>
          <w:p>
            <w:pPr>
              <w:pStyle w:val="5"/>
              <w:adjustRightInd/>
              <w:spacing w:beforeLines="0" w:line="520" w:lineRule="exact"/>
              <w:ind w:firstLine="482"/>
              <w:contextualSpacing/>
              <w:rPr>
                <w:b/>
              </w:rPr>
            </w:pPr>
            <w:r>
              <w:rPr>
                <w:b/>
              </w:rPr>
              <w:t>2.</w:t>
            </w:r>
            <w:r>
              <w:rPr>
                <w:rFonts w:hint="eastAsia"/>
                <w:b/>
              </w:rPr>
              <w:t>3</w:t>
            </w:r>
            <w:r>
              <w:rPr>
                <w:b/>
              </w:rPr>
              <w:t>、</w:t>
            </w:r>
            <w:r>
              <w:rPr>
                <w:rFonts w:hint="eastAsia"/>
                <w:b/>
              </w:rPr>
              <w:t>受纳污水处理厂及区域纳污情况</w:t>
            </w:r>
          </w:p>
          <w:p>
            <w:pPr>
              <w:snapToGrid w:val="0"/>
              <w:spacing w:line="520" w:lineRule="exact"/>
              <w:ind w:firstLine="480" w:firstLineChars="200"/>
              <w:contextualSpacing/>
              <w:rPr>
                <w:kern w:val="0"/>
                <w:sz w:val="24"/>
                <w:szCs w:val="24"/>
              </w:rPr>
            </w:pPr>
            <w:r>
              <w:rPr>
                <w:rFonts w:hint="eastAsia"/>
                <w:kern w:val="0"/>
                <w:sz w:val="24"/>
                <w:szCs w:val="24"/>
              </w:rPr>
              <w:t>君山污水处理一厂位</w:t>
            </w:r>
            <w:r>
              <w:rPr>
                <w:kern w:val="0"/>
                <w:sz w:val="24"/>
                <w:szCs w:val="24"/>
              </w:rPr>
              <w:t>于</w:t>
            </w:r>
            <w:r>
              <w:rPr>
                <w:rFonts w:hint="eastAsia"/>
                <w:kern w:val="0"/>
                <w:sz w:val="24"/>
                <w:szCs w:val="24"/>
              </w:rPr>
              <w:t>洞庭大道以南、旅游路以东的濠河湿地公园旁</w:t>
            </w:r>
            <w:r>
              <w:rPr>
                <w:kern w:val="0"/>
                <w:sz w:val="24"/>
                <w:szCs w:val="24"/>
              </w:rPr>
              <w:t>，占地</w:t>
            </w:r>
            <w:r>
              <w:rPr>
                <w:rFonts w:hint="eastAsia"/>
                <w:kern w:val="0"/>
                <w:sz w:val="24"/>
                <w:szCs w:val="24"/>
              </w:rPr>
              <w:t>2公顷</w:t>
            </w:r>
            <w:r>
              <w:rPr>
                <w:kern w:val="0"/>
                <w:sz w:val="24"/>
                <w:szCs w:val="24"/>
              </w:rPr>
              <w:t>，设计总规模</w:t>
            </w:r>
            <w:r>
              <w:rPr>
                <w:rFonts w:hint="eastAsia"/>
                <w:kern w:val="0"/>
                <w:sz w:val="24"/>
                <w:szCs w:val="24"/>
              </w:rPr>
              <w:t>2</w:t>
            </w:r>
            <w:r>
              <w:rPr>
                <w:kern w:val="0"/>
                <w:sz w:val="24"/>
                <w:szCs w:val="24"/>
              </w:rPr>
              <w:t>万m</w:t>
            </w:r>
            <w:r>
              <w:rPr>
                <w:kern w:val="0"/>
                <w:sz w:val="24"/>
                <w:szCs w:val="24"/>
                <w:vertAlign w:val="superscript"/>
              </w:rPr>
              <w:t>3</w:t>
            </w:r>
            <w:r>
              <w:rPr>
                <w:kern w:val="0"/>
                <w:sz w:val="24"/>
                <w:szCs w:val="24"/>
              </w:rPr>
              <w:t>/d，近期工程日处理规模为1万m</w:t>
            </w:r>
            <w:r>
              <w:rPr>
                <w:kern w:val="0"/>
                <w:sz w:val="24"/>
                <w:szCs w:val="24"/>
                <w:vertAlign w:val="superscript"/>
              </w:rPr>
              <w:t>3</w:t>
            </w:r>
            <w:r>
              <w:rPr>
                <w:kern w:val="0"/>
                <w:sz w:val="24"/>
                <w:szCs w:val="24"/>
              </w:rPr>
              <w:t>/d，包括厂区和管网工程。二期日处理规模为2万m</w:t>
            </w:r>
            <w:r>
              <w:rPr>
                <w:kern w:val="0"/>
                <w:sz w:val="24"/>
                <w:szCs w:val="24"/>
                <w:vertAlign w:val="superscript"/>
              </w:rPr>
              <w:t>3</w:t>
            </w:r>
            <w:r>
              <w:rPr>
                <w:kern w:val="0"/>
                <w:sz w:val="24"/>
                <w:szCs w:val="24"/>
              </w:rPr>
              <w:t>/d，拟在2020年完成建设。厂区工程采取BOT形式建设，采用</w:t>
            </w:r>
            <w:r>
              <w:rPr>
                <w:rFonts w:hint="eastAsia"/>
                <w:kern w:val="0"/>
                <w:sz w:val="24"/>
                <w:szCs w:val="24"/>
              </w:rPr>
              <w:t>DEST</w:t>
            </w:r>
            <w:r>
              <w:rPr>
                <w:kern w:val="0"/>
                <w:sz w:val="24"/>
                <w:szCs w:val="24"/>
              </w:rPr>
              <w:t>（缺氧-厌氧-好氧）处理工艺，运行状况良好，设计进水水质要求达GB8978-1996中三级标准，出水水质标准执行《城镇污水处理厂污染物排放标准》（GB18918-2002）规定的一级</w:t>
            </w:r>
            <w:r>
              <w:rPr>
                <w:rFonts w:hint="eastAsia"/>
                <w:kern w:val="0"/>
                <w:sz w:val="24"/>
                <w:szCs w:val="24"/>
              </w:rPr>
              <w:t>A</w:t>
            </w:r>
            <w:r>
              <w:rPr>
                <w:kern w:val="0"/>
                <w:sz w:val="24"/>
                <w:szCs w:val="24"/>
              </w:rPr>
              <w:t>标准，尾水排入濠河，最终排入洞庭湖。</w:t>
            </w:r>
          </w:p>
          <w:p>
            <w:pPr>
              <w:snapToGrid w:val="0"/>
              <w:spacing w:line="520" w:lineRule="exact"/>
              <w:ind w:firstLine="480" w:firstLineChars="200"/>
              <w:contextualSpacing/>
              <w:rPr>
                <w:kern w:val="0"/>
                <w:sz w:val="24"/>
                <w:szCs w:val="24"/>
              </w:rPr>
            </w:pPr>
            <w:r>
              <w:rPr>
                <w:rFonts w:hint="eastAsia" w:eastAsia="新宋体"/>
                <w:sz w:val="24"/>
              </w:rPr>
              <w:t>目前水处理厂日处理设计能力为1万m</w:t>
            </w:r>
            <w:r>
              <w:rPr>
                <w:rFonts w:hint="eastAsia" w:eastAsia="新宋体"/>
                <w:sz w:val="24"/>
                <w:vertAlign w:val="superscript"/>
              </w:rPr>
              <w:t>3</w:t>
            </w:r>
            <w:r>
              <w:rPr>
                <w:rFonts w:hint="eastAsia" w:eastAsia="新宋体"/>
                <w:sz w:val="24"/>
              </w:rPr>
              <w:t>/d，根据调查</w:t>
            </w:r>
            <w:r>
              <w:rPr>
                <w:rFonts w:hint="eastAsia"/>
                <w:kern w:val="0"/>
                <w:sz w:val="24"/>
                <w:szCs w:val="24"/>
              </w:rPr>
              <w:t>君山污水处理一厂</w:t>
            </w:r>
            <w:r>
              <w:rPr>
                <w:rFonts w:hint="eastAsia" w:eastAsia="新宋体"/>
                <w:sz w:val="24"/>
              </w:rPr>
              <w:t>纳污范围内目前收集的废水量约为7500</w:t>
            </w:r>
            <w:r>
              <w:rPr>
                <w:rFonts w:eastAsia="新宋体"/>
                <w:sz w:val="24"/>
              </w:rPr>
              <w:t>m</w:t>
            </w:r>
            <w:r>
              <w:rPr>
                <w:rFonts w:eastAsia="新宋体"/>
                <w:sz w:val="24"/>
                <w:vertAlign w:val="superscript"/>
              </w:rPr>
              <w:t>3</w:t>
            </w:r>
            <w:r>
              <w:rPr>
                <w:rFonts w:eastAsia="新宋体"/>
                <w:sz w:val="24"/>
              </w:rPr>
              <w:t>/d，剩余处理规模</w:t>
            </w:r>
            <w:r>
              <w:rPr>
                <w:rFonts w:hint="eastAsia" w:eastAsia="新宋体"/>
                <w:sz w:val="24"/>
              </w:rPr>
              <w:t>2500</w:t>
            </w:r>
            <w:r>
              <w:rPr>
                <w:rFonts w:eastAsia="新宋体"/>
                <w:sz w:val="24"/>
              </w:rPr>
              <w:t>m</w:t>
            </w:r>
            <w:r>
              <w:rPr>
                <w:rFonts w:eastAsia="新宋体"/>
                <w:sz w:val="24"/>
                <w:vertAlign w:val="superscript"/>
              </w:rPr>
              <w:t>3</w:t>
            </w:r>
            <w:r>
              <w:rPr>
                <w:rFonts w:eastAsia="新宋体"/>
                <w:sz w:val="24"/>
              </w:rPr>
              <w:t>/d</w:t>
            </w:r>
            <w:r>
              <w:rPr>
                <w:rFonts w:hint="eastAsia" w:eastAsia="新宋体"/>
                <w:sz w:val="24"/>
              </w:rPr>
              <w:t>，拟对二期工程进行扩建，</w:t>
            </w:r>
            <w:r>
              <w:rPr>
                <w:rFonts w:hint="eastAsia"/>
                <w:kern w:val="0"/>
                <w:sz w:val="24"/>
                <w:szCs w:val="24"/>
              </w:rPr>
              <w:t>日处理规模为</w:t>
            </w:r>
            <w:r>
              <w:rPr>
                <w:kern w:val="0"/>
                <w:sz w:val="24"/>
                <w:szCs w:val="24"/>
              </w:rPr>
              <w:t>2万m</w:t>
            </w:r>
            <w:r>
              <w:rPr>
                <w:kern w:val="0"/>
                <w:sz w:val="24"/>
                <w:szCs w:val="24"/>
                <w:vertAlign w:val="superscript"/>
              </w:rPr>
              <w:t>3</w:t>
            </w:r>
            <w:r>
              <w:rPr>
                <w:kern w:val="0"/>
                <w:sz w:val="24"/>
                <w:szCs w:val="24"/>
              </w:rPr>
              <w:t>/d</w:t>
            </w:r>
            <w:r>
              <w:rPr>
                <w:rFonts w:hint="eastAsia"/>
                <w:kern w:val="0"/>
                <w:sz w:val="24"/>
                <w:szCs w:val="24"/>
              </w:rPr>
              <w:t>，于2020年完成建设</w:t>
            </w:r>
            <w:r>
              <w:rPr>
                <w:rFonts w:eastAsia="新宋体"/>
                <w:sz w:val="24"/>
              </w:rPr>
              <w:t>，</w:t>
            </w:r>
            <w:r>
              <w:rPr>
                <w:rFonts w:hint="eastAsia" w:eastAsia="新宋体"/>
                <w:sz w:val="24"/>
              </w:rPr>
              <w:t>有能力接收本项目废水，能够满足纳污范围内的污水处理要求。根据</w:t>
            </w:r>
            <w:r>
              <w:rPr>
                <w:rFonts w:hint="eastAsia"/>
                <w:kern w:val="0"/>
                <w:sz w:val="24"/>
                <w:szCs w:val="24"/>
              </w:rPr>
              <w:t>君山污水处理一厂污水接纳能力调查，君山污水处理一厂剩余处理能力可满足本项目需求。</w:t>
            </w:r>
          </w:p>
          <w:p>
            <w:pPr>
              <w:snapToGrid w:val="0"/>
              <w:spacing w:line="520" w:lineRule="exact"/>
              <w:ind w:firstLine="480" w:firstLineChars="200"/>
              <w:contextualSpacing/>
              <w:rPr>
                <w:rFonts w:eastAsia="新宋体"/>
                <w:sz w:val="24"/>
              </w:rPr>
            </w:pPr>
            <w:r>
              <w:rPr>
                <w:rFonts w:eastAsia="新宋体"/>
                <w:sz w:val="24"/>
              </w:rPr>
              <w:t>本项目所涉及的内容是污水管网的建设，用来收集和输送君山区中心城区的污水（包括生活污水和工业废水）。</w:t>
            </w:r>
            <w:r>
              <w:rPr>
                <w:rFonts w:hint="eastAsia" w:eastAsia="新宋体"/>
                <w:sz w:val="24"/>
              </w:rPr>
              <w:t>本项目利用重力流服务于旅游路片区，</w:t>
            </w:r>
            <w:r>
              <w:rPr>
                <w:rFonts w:eastAsia="新宋体"/>
                <w:sz w:val="24"/>
              </w:rPr>
              <w:t>根据设计单位调查资料，君山区中心城区</w:t>
            </w:r>
            <w:r>
              <w:rPr>
                <w:rFonts w:hint="eastAsia" w:eastAsia="新宋体"/>
                <w:sz w:val="24"/>
              </w:rPr>
              <w:t>旅游路片区</w:t>
            </w:r>
            <w:r>
              <w:rPr>
                <w:rFonts w:eastAsia="新宋体"/>
                <w:sz w:val="24"/>
              </w:rPr>
              <w:t>20</w:t>
            </w:r>
            <w:r>
              <w:rPr>
                <w:rFonts w:hint="eastAsia" w:eastAsia="新宋体"/>
                <w:sz w:val="24"/>
              </w:rPr>
              <w:t>3</w:t>
            </w:r>
            <w:r>
              <w:rPr>
                <w:rFonts w:eastAsia="新宋体"/>
                <w:sz w:val="24"/>
              </w:rPr>
              <w:t>0年预计污水产生量约为</w:t>
            </w:r>
            <w:r>
              <w:rPr>
                <w:rFonts w:hint="eastAsia" w:eastAsia="新宋体"/>
                <w:sz w:val="24"/>
              </w:rPr>
              <w:t>1.49</w:t>
            </w:r>
            <w:r>
              <w:rPr>
                <w:rFonts w:eastAsia="新宋体"/>
                <w:sz w:val="24"/>
              </w:rPr>
              <w:t>万m</w:t>
            </w:r>
            <w:r>
              <w:rPr>
                <w:rFonts w:eastAsia="新宋体"/>
                <w:sz w:val="24"/>
                <w:vertAlign w:val="superscript"/>
              </w:rPr>
              <w:t>3</w:t>
            </w:r>
            <w:r>
              <w:rPr>
                <w:rFonts w:eastAsia="新宋体"/>
                <w:sz w:val="24"/>
              </w:rPr>
              <w:t>/d</w:t>
            </w:r>
            <w:r>
              <w:rPr>
                <w:rFonts w:hint="eastAsia" w:eastAsia="新宋体"/>
                <w:sz w:val="24"/>
              </w:rPr>
              <w:t>。</w:t>
            </w:r>
            <w:r>
              <w:rPr>
                <w:rFonts w:eastAsia="新宋体"/>
                <w:sz w:val="24"/>
              </w:rPr>
              <w:t>本项目排水管网总计</w:t>
            </w:r>
            <w:r>
              <w:rPr>
                <w:rFonts w:hint="eastAsia" w:eastAsia="新宋体"/>
                <w:sz w:val="24"/>
              </w:rPr>
              <w:t>30430</w:t>
            </w:r>
            <w:r>
              <w:rPr>
                <w:rFonts w:eastAsia="新宋体"/>
                <w:sz w:val="24"/>
              </w:rPr>
              <w:t>m，</w:t>
            </w:r>
            <w:r>
              <w:rPr>
                <w:rFonts w:hint="eastAsia" w:eastAsia="新宋体"/>
                <w:sz w:val="24"/>
              </w:rPr>
              <w:t>污水管道总长为16425m，其中</w:t>
            </w:r>
            <w:r>
              <w:rPr>
                <w:rFonts w:eastAsia="新宋体"/>
                <w:sz w:val="24"/>
              </w:rPr>
              <w:t>支管型号为</w:t>
            </w:r>
            <w:r>
              <w:rPr>
                <w:rFonts w:hint="eastAsia" w:eastAsia="新宋体"/>
                <w:sz w:val="24"/>
              </w:rPr>
              <w:t>DN800、DN500</w:t>
            </w:r>
            <w:r>
              <w:rPr>
                <w:rFonts w:eastAsia="新宋体"/>
                <w:sz w:val="24"/>
              </w:rPr>
              <w:t>，长度</w:t>
            </w:r>
            <w:r>
              <w:rPr>
                <w:rFonts w:hint="eastAsia" w:eastAsia="新宋体"/>
                <w:sz w:val="24"/>
              </w:rPr>
              <w:t>分别</w:t>
            </w:r>
            <w:r>
              <w:rPr>
                <w:rFonts w:eastAsia="新宋体"/>
                <w:sz w:val="24"/>
              </w:rPr>
              <w:t>为</w:t>
            </w:r>
            <w:r>
              <w:rPr>
                <w:rFonts w:hint="eastAsia" w:eastAsia="新宋体"/>
                <w:sz w:val="24"/>
              </w:rPr>
              <w:t>3880</w:t>
            </w:r>
            <w:r>
              <w:rPr>
                <w:rFonts w:eastAsia="新宋体"/>
                <w:sz w:val="24"/>
              </w:rPr>
              <w:t>m</w:t>
            </w:r>
            <w:r>
              <w:rPr>
                <w:rFonts w:hint="eastAsia" w:eastAsia="新宋体"/>
                <w:sz w:val="24"/>
              </w:rPr>
              <w:t>、4527m</w:t>
            </w:r>
            <w:r>
              <w:rPr>
                <w:rFonts w:eastAsia="新宋体"/>
                <w:sz w:val="24"/>
              </w:rPr>
              <w:t>；</w:t>
            </w:r>
            <w:r>
              <w:rPr>
                <w:rFonts w:hint="eastAsia" w:eastAsia="新宋体"/>
                <w:sz w:val="24"/>
              </w:rPr>
              <w:t>雨水管道总长度为14008m，其中</w:t>
            </w:r>
            <w:r>
              <w:rPr>
                <w:rFonts w:eastAsia="新宋体"/>
                <w:sz w:val="24"/>
              </w:rPr>
              <w:t>支管型号为</w:t>
            </w:r>
            <w:r>
              <w:rPr>
                <w:rFonts w:hint="eastAsia" w:eastAsia="新宋体"/>
                <w:sz w:val="24"/>
              </w:rPr>
              <w:t>DN1000、DN1200、DN1400</w:t>
            </w:r>
            <w:r>
              <w:rPr>
                <w:rFonts w:eastAsia="新宋体"/>
                <w:sz w:val="24"/>
              </w:rPr>
              <w:t>，长度</w:t>
            </w:r>
            <w:r>
              <w:rPr>
                <w:rFonts w:hint="eastAsia" w:eastAsia="新宋体"/>
                <w:sz w:val="24"/>
              </w:rPr>
              <w:t>分别</w:t>
            </w:r>
            <w:r>
              <w:rPr>
                <w:rFonts w:eastAsia="新宋体"/>
                <w:sz w:val="24"/>
              </w:rPr>
              <w:t>为</w:t>
            </w:r>
            <w:r>
              <w:rPr>
                <w:rFonts w:hint="eastAsia" w:eastAsia="新宋体"/>
                <w:sz w:val="24"/>
              </w:rPr>
              <w:t>9534</w:t>
            </w:r>
            <w:r>
              <w:rPr>
                <w:rFonts w:eastAsia="新宋体"/>
                <w:sz w:val="24"/>
              </w:rPr>
              <w:t>m</w:t>
            </w:r>
            <w:r>
              <w:rPr>
                <w:rFonts w:hint="eastAsia" w:eastAsia="新宋体"/>
                <w:sz w:val="24"/>
              </w:rPr>
              <w:t>、2790m、1684m</w:t>
            </w:r>
            <w:r>
              <w:rPr>
                <w:rFonts w:eastAsia="新宋体"/>
                <w:sz w:val="24"/>
              </w:rPr>
              <w:t>。</w:t>
            </w:r>
            <w:r>
              <w:rPr>
                <w:rFonts w:hint="eastAsia" w:eastAsia="新宋体"/>
                <w:sz w:val="24"/>
              </w:rPr>
              <w:t>可以满足纳污范围内污水输送要求。</w:t>
            </w:r>
          </w:p>
          <w:p>
            <w:pPr>
              <w:pStyle w:val="5"/>
              <w:adjustRightInd/>
              <w:spacing w:beforeLines="0" w:line="520" w:lineRule="exact"/>
              <w:ind w:firstLine="562"/>
              <w:contextualSpacing/>
              <w:rPr>
                <w:b/>
                <w:sz w:val="28"/>
                <w:szCs w:val="28"/>
              </w:rPr>
            </w:pPr>
            <w:r>
              <w:rPr>
                <w:rFonts w:hint="eastAsia"/>
                <w:b/>
                <w:sz w:val="28"/>
                <w:szCs w:val="28"/>
              </w:rPr>
              <w:t>3</w:t>
            </w:r>
            <w:r>
              <w:rPr>
                <w:b/>
                <w:sz w:val="28"/>
                <w:szCs w:val="28"/>
              </w:rPr>
              <w:t>、</w:t>
            </w:r>
            <w:r>
              <w:rPr>
                <w:rFonts w:hint="eastAsia"/>
                <w:b/>
                <w:sz w:val="28"/>
                <w:szCs w:val="28"/>
              </w:rPr>
              <w:t>工程设计方案</w:t>
            </w:r>
          </w:p>
          <w:p>
            <w:pPr>
              <w:pStyle w:val="5"/>
              <w:adjustRightInd/>
              <w:spacing w:beforeLines="0" w:line="520" w:lineRule="exact"/>
              <w:ind w:firstLine="482"/>
              <w:contextualSpacing/>
              <w:rPr>
                <w:b/>
              </w:rPr>
            </w:pPr>
            <w:r>
              <w:rPr>
                <w:rFonts w:hint="eastAsia"/>
                <w:b/>
              </w:rPr>
              <w:t>3</w:t>
            </w:r>
            <w:r>
              <w:rPr>
                <w:b/>
              </w:rPr>
              <w:t>.1、</w:t>
            </w:r>
            <w:r>
              <w:rPr>
                <w:rFonts w:hint="eastAsia"/>
                <w:b/>
              </w:rPr>
              <w:t>设计原则</w:t>
            </w:r>
          </w:p>
          <w:p>
            <w:pPr>
              <w:snapToGrid w:val="0"/>
              <w:spacing w:line="520" w:lineRule="exact"/>
              <w:ind w:firstLine="480" w:firstLineChars="200"/>
              <w:contextualSpacing/>
              <w:rPr>
                <w:rFonts w:eastAsia="新宋体"/>
                <w:sz w:val="24"/>
              </w:rPr>
            </w:pPr>
            <w:r>
              <w:rPr>
                <w:rFonts w:hint="eastAsia" w:eastAsia="新宋体"/>
                <w:sz w:val="24"/>
              </w:rPr>
              <w:t>(1)尽量考虑排水管网系统与原有沟、渠排水系统的配合衔接问题。</w:t>
            </w:r>
          </w:p>
          <w:p>
            <w:pPr>
              <w:snapToGrid w:val="0"/>
              <w:spacing w:line="520" w:lineRule="exact"/>
              <w:ind w:firstLine="480" w:firstLineChars="200"/>
              <w:contextualSpacing/>
              <w:rPr>
                <w:rFonts w:eastAsia="新宋体"/>
                <w:sz w:val="24"/>
              </w:rPr>
            </w:pPr>
            <w:r>
              <w:rPr>
                <w:rFonts w:hint="eastAsia" w:eastAsia="新宋体"/>
                <w:sz w:val="24"/>
              </w:rPr>
              <w:t>(2)根据区域地形，地貌和地质特点，合理布置管道走向，以利减少管道埋深和污水提升高度，降低工程造价和经常运转费用。</w:t>
            </w:r>
          </w:p>
          <w:p>
            <w:pPr>
              <w:snapToGrid w:val="0"/>
              <w:spacing w:line="520" w:lineRule="exact"/>
              <w:ind w:firstLine="480" w:firstLineChars="200"/>
              <w:contextualSpacing/>
              <w:rPr>
                <w:rFonts w:eastAsia="新宋体"/>
                <w:sz w:val="24"/>
              </w:rPr>
            </w:pPr>
            <w:r>
              <w:rPr>
                <w:rFonts w:hint="eastAsia" w:eastAsia="新宋体"/>
                <w:sz w:val="24"/>
              </w:rPr>
              <w:t>(3)处理好污水主干管与现状排水系统之间的关系，尽最大可能提高污水收集率。</w:t>
            </w:r>
          </w:p>
          <w:p>
            <w:pPr>
              <w:snapToGrid w:val="0"/>
              <w:spacing w:line="520" w:lineRule="exact"/>
              <w:ind w:firstLine="480" w:firstLineChars="200"/>
              <w:contextualSpacing/>
              <w:rPr>
                <w:rFonts w:eastAsia="新宋体"/>
                <w:sz w:val="24"/>
              </w:rPr>
            </w:pPr>
            <w:r>
              <w:rPr>
                <w:rFonts w:hint="eastAsia" w:eastAsia="新宋体"/>
                <w:sz w:val="24"/>
              </w:rPr>
              <w:t>(4)在保证污水主千管布置合理、布管顺畅、经济的前提下，结合城区内各沟、渠的综合治理，尽量少拆迁，少占地，尽量减少对企事业单位和城区居民正常生产、工作和生活的影响。</w:t>
            </w:r>
          </w:p>
          <w:p>
            <w:pPr>
              <w:snapToGrid w:val="0"/>
              <w:spacing w:line="520" w:lineRule="exact"/>
              <w:ind w:firstLine="480" w:firstLineChars="200"/>
              <w:contextualSpacing/>
              <w:rPr>
                <w:rFonts w:eastAsia="新宋体"/>
                <w:sz w:val="24"/>
              </w:rPr>
            </w:pPr>
            <w:r>
              <w:rPr>
                <w:rFonts w:hint="eastAsia" w:eastAsia="新宋体"/>
                <w:sz w:val="24"/>
              </w:rPr>
              <w:t>(5)采用各种与地形相适应的管道敷设方式，尽量利用先进、合理的施工 技术，减小施工难度，降低造价。</w:t>
            </w:r>
          </w:p>
          <w:p>
            <w:pPr>
              <w:snapToGrid w:val="0"/>
              <w:spacing w:line="520" w:lineRule="exact"/>
              <w:ind w:firstLine="480" w:firstLineChars="200"/>
              <w:contextualSpacing/>
              <w:rPr>
                <w:rFonts w:eastAsia="新宋体"/>
                <w:sz w:val="24"/>
              </w:rPr>
            </w:pPr>
            <w:r>
              <w:rPr>
                <w:rFonts w:hint="eastAsia" w:eastAsia="新宋体"/>
                <w:sz w:val="24"/>
              </w:rPr>
              <w:t>(6)服从城市总体规划的原则和要求，并与城市道路、给水、排水、防洪、环保、电力、电信、近期建设等工程规划相协调。</w:t>
            </w:r>
          </w:p>
          <w:p>
            <w:pPr>
              <w:snapToGrid w:val="0"/>
              <w:spacing w:line="520" w:lineRule="exact"/>
              <w:ind w:firstLine="480" w:firstLineChars="200"/>
              <w:contextualSpacing/>
              <w:rPr>
                <w:rFonts w:eastAsia="新宋体"/>
                <w:sz w:val="24"/>
              </w:rPr>
            </w:pPr>
            <w:r>
              <w:rPr>
                <w:rFonts w:hint="eastAsia" w:eastAsia="新宋体"/>
                <w:sz w:val="24"/>
              </w:rPr>
              <w:t>(7)认真贯彻执行国家相关的方针政策，做到技术先进，经济合理，安全实用，稳妥可靠。</w:t>
            </w:r>
          </w:p>
          <w:p>
            <w:pPr>
              <w:snapToGrid w:val="0"/>
              <w:spacing w:line="520" w:lineRule="exact"/>
              <w:ind w:firstLine="480" w:firstLineChars="200"/>
              <w:contextualSpacing/>
              <w:rPr>
                <w:rFonts w:eastAsia="新宋体"/>
                <w:sz w:val="24"/>
              </w:rPr>
            </w:pPr>
            <w:r>
              <w:rPr>
                <w:rFonts w:hint="eastAsia" w:eastAsia="新宋体"/>
                <w:sz w:val="24"/>
              </w:rPr>
              <w:t>(8)排水管网系统设计必须与污水处理厂的设计相配合。</w:t>
            </w:r>
          </w:p>
          <w:p>
            <w:pPr>
              <w:pStyle w:val="5"/>
              <w:adjustRightInd/>
              <w:spacing w:beforeLines="0" w:line="520" w:lineRule="exact"/>
              <w:ind w:firstLine="482"/>
              <w:contextualSpacing/>
              <w:rPr>
                <w:b/>
              </w:rPr>
            </w:pPr>
            <w:r>
              <w:rPr>
                <w:rFonts w:hint="eastAsia"/>
                <w:b/>
              </w:rPr>
              <w:t>3.2、重力管道设计参数</w:t>
            </w:r>
          </w:p>
          <w:p>
            <w:pPr>
              <w:snapToGrid w:val="0"/>
              <w:spacing w:line="520" w:lineRule="exact"/>
              <w:ind w:firstLine="480" w:firstLineChars="200"/>
              <w:contextualSpacing/>
              <w:rPr>
                <w:rFonts w:eastAsia="新宋体"/>
                <w:sz w:val="24"/>
              </w:rPr>
            </w:pPr>
            <w:r>
              <w:rPr>
                <w:rFonts w:hint="eastAsia" w:eastAsia="新宋体"/>
                <w:sz w:val="24"/>
              </w:rPr>
              <w:t>（1）设计充满度</w:t>
            </w:r>
          </w:p>
          <w:p>
            <w:pPr>
              <w:snapToGrid w:val="0"/>
              <w:spacing w:line="520" w:lineRule="exact"/>
              <w:ind w:firstLine="480" w:firstLineChars="200"/>
              <w:contextualSpacing/>
              <w:rPr>
                <w:rFonts w:eastAsia="新宋体"/>
                <w:sz w:val="24"/>
              </w:rPr>
            </w:pPr>
            <w:r>
              <w:rPr>
                <w:rFonts w:hint="eastAsia" w:eastAsia="新宋体"/>
                <w:sz w:val="24"/>
              </w:rPr>
              <w:t>重力流污水管最大设计充满度见下表。</w:t>
            </w:r>
          </w:p>
          <w:p>
            <w:pPr>
              <w:snapToGrid w:val="0"/>
              <w:spacing w:line="520" w:lineRule="exact"/>
              <w:contextualSpacing/>
              <w:jc w:val="center"/>
              <w:rPr>
                <w:b/>
                <w:sz w:val="24"/>
                <w:szCs w:val="24"/>
              </w:rPr>
            </w:pPr>
            <w:r>
              <w:rPr>
                <w:rFonts w:hint="eastAsia"/>
                <w:b/>
                <w:sz w:val="24"/>
                <w:szCs w:val="24"/>
              </w:rPr>
              <w:t>表1-4 最大设计充满度</w:t>
            </w:r>
          </w:p>
          <w:tbl>
            <w:tblPr>
              <w:tblStyle w:val="20"/>
              <w:tblW w:w="812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60"/>
              <w:gridCol w:w="40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管径（mm）</w:t>
                  </w:r>
                </w:p>
              </w:tc>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最大设计充满度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200~300</w:t>
                  </w:r>
                </w:p>
              </w:tc>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0.55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350~450</w:t>
                  </w:r>
                </w:p>
              </w:tc>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0.65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500~900</w:t>
                  </w:r>
                </w:p>
              </w:tc>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060" w:type="dxa"/>
                  <w:tcBorders>
                    <w:tl2br w:val="nil"/>
                    <w:tr2bl w:val="nil"/>
                  </w:tcBorders>
                </w:tcPr>
                <w:p>
                  <w:pPr>
                    <w:snapToGrid w:val="0"/>
                    <w:spacing w:line="520" w:lineRule="exact"/>
                    <w:contextualSpacing/>
                    <w:jc w:val="center"/>
                    <w:rPr>
                      <w:rFonts w:eastAsia="新宋体"/>
                      <w:sz w:val="24"/>
                    </w:rPr>
                  </w:pPr>
                  <w:r>
                    <w:rPr>
                      <w:rFonts w:hint="eastAsia" w:ascii="宋体" w:hAnsi="宋体" w:eastAsia="宋体" w:cs="宋体"/>
                      <w:sz w:val="24"/>
                    </w:rPr>
                    <w:t>≧</w:t>
                  </w:r>
                  <w:r>
                    <w:rPr>
                      <w:rFonts w:hint="eastAsia" w:eastAsia="新宋体"/>
                      <w:sz w:val="24"/>
                    </w:rPr>
                    <w:t>1000</w:t>
                  </w:r>
                </w:p>
              </w:tc>
              <w:tc>
                <w:tcPr>
                  <w:tcW w:w="4060" w:type="dxa"/>
                  <w:tcBorders>
                    <w:tl2br w:val="nil"/>
                    <w:tr2bl w:val="nil"/>
                  </w:tcBorders>
                </w:tcPr>
                <w:p>
                  <w:pPr>
                    <w:snapToGrid w:val="0"/>
                    <w:spacing w:line="520" w:lineRule="exact"/>
                    <w:contextualSpacing/>
                    <w:jc w:val="center"/>
                    <w:rPr>
                      <w:rFonts w:eastAsia="新宋体"/>
                      <w:sz w:val="24"/>
                    </w:rPr>
                  </w:pPr>
                  <w:r>
                    <w:rPr>
                      <w:rFonts w:hint="eastAsia" w:eastAsia="新宋体"/>
                      <w:sz w:val="24"/>
                    </w:rPr>
                    <w:t>0.75</w:t>
                  </w:r>
                </w:p>
              </w:tc>
            </w:tr>
          </w:tbl>
          <w:p>
            <w:pPr>
              <w:snapToGrid w:val="0"/>
              <w:spacing w:line="520" w:lineRule="exact"/>
              <w:ind w:firstLine="480" w:firstLineChars="200"/>
              <w:contextualSpacing/>
              <w:rPr>
                <w:rFonts w:eastAsia="新宋体"/>
                <w:sz w:val="24"/>
              </w:rPr>
            </w:pPr>
            <w:r>
              <w:rPr>
                <w:rFonts w:hint="eastAsia" w:eastAsia="新宋体"/>
                <w:sz w:val="24"/>
              </w:rPr>
              <w:t>（2）设计流速</w:t>
            </w:r>
          </w:p>
          <w:p>
            <w:pPr>
              <w:snapToGrid w:val="0"/>
              <w:spacing w:line="520" w:lineRule="exact"/>
              <w:ind w:firstLine="480" w:firstLineChars="200"/>
              <w:contextualSpacing/>
              <w:rPr>
                <w:rFonts w:eastAsia="新宋体"/>
                <w:sz w:val="24"/>
              </w:rPr>
            </w:pPr>
            <w:r>
              <w:rPr>
                <w:rFonts w:hint="eastAsia" w:eastAsia="新宋体"/>
                <w:sz w:val="24"/>
              </w:rPr>
              <w:t>污水管道在设计充满度下为V</w:t>
            </w:r>
            <w:r>
              <w:rPr>
                <w:rFonts w:hint="eastAsia" w:eastAsia="新宋体"/>
                <w:sz w:val="24"/>
                <w:vertAlign w:val="subscript"/>
              </w:rPr>
              <w:t>min</w:t>
            </w:r>
            <w:r>
              <w:rPr>
                <w:rFonts w:hint="eastAsia" w:eastAsia="新宋体"/>
                <w:sz w:val="24"/>
              </w:rPr>
              <w:t>=0.6m/s。</w:t>
            </w:r>
          </w:p>
          <w:p>
            <w:pPr>
              <w:snapToGrid w:val="0"/>
              <w:spacing w:line="520" w:lineRule="exact"/>
              <w:ind w:firstLine="480" w:firstLineChars="200"/>
              <w:contextualSpacing/>
              <w:rPr>
                <w:rFonts w:eastAsia="新宋体"/>
                <w:sz w:val="24"/>
              </w:rPr>
            </w:pPr>
            <w:r>
              <w:rPr>
                <w:rFonts w:hint="eastAsia" w:eastAsia="新宋体"/>
                <w:sz w:val="24"/>
              </w:rPr>
              <w:t>重力流管道最大设计流速：金属管道V</w:t>
            </w:r>
            <w:r>
              <w:rPr>
                <w:rFonts w:hint="eastAsia" w:eastAsia="新宋体"/>
                <w:sz w:val="24"/>
                <w:vertAlign w:val="subscript"/>
              </w:rPr>
              <w:t>max</w:t>
            </w:r>
            <w:r>
              <w:rPr>
                <w:rFonts w:hint="eastAsia" w:eastAsia="新宋体"/>
                <w:sz w:val="24"/>
              </w:rPr>
              <w:t>=10m/s；非金属管道V</w:t>
            </w:r>
            <w:r>
              <w:rPr>
                <w:rFonts w:hint="eastAsia" w:eastAsia="新宋体"/>
                <w:sz w:val="24"/>
                <w:vertAlign w:val="subscript"/>
              </w:rPr>
              <w:t>max</w:t>
            </w:r>
            <w:r>
              <w:rPr>
                <w:rFonts w:hint="eastAsia" w:eastAsia="新宋体"/>
                <w:sz w:val="24"/>
              </w:rPr>
              <w:t>=5m/s。</w:t>
            </w:r>
          </w:p>
          <w:p>
            <w:pPr>
              <w:snapToGrid w:val="0"/>
              <w:spacing w:line="520" w:lineRule="exact"/>
              <w:ind w:firstLine="480" w:firstLineChars="200"/>
              <w:contextualSpacing/>
              <w:rPr>
                <w:rFonts w:eastAsia="新宋体"/>
                <w:sz w:val="24"/>
              </w:rPr>
            </w:pPr>
            <w:r>
              <w:rPr>
                <w:rFonts w:hint="eastAsia" w:eastAsia="新宋体"/>
                <w:sz w:val="24"/>
              </w:rPr>
              <w:t>压力流排水管道设计流速：V=0.7~2.0m/s。</w:t>
            </w:r>
          </w:p>
          <w:p>
            <w:pPr>
              <w:pStyle w:val="5"/>
              <w:adjustRightInd/>
              <w:spacing w:beforeLines="0" w:line="520" w:lineRule="exact"/>
              <w:ind w:firstLine="482"/>
              <w:contextualSpacing/>
              <w:rPr>
                <w:b/>
              </w:rPr>
            </w:pPr>
            <w:r>
              <w:rPr>
                <w:rFonts w:hint="eastAsia"/>
                <w:b/>
              </w:rPr>
              <w:t>3</w:t>
            </w:r>
            <w:r>
              <w:rPr>
                <w:b/>
              </w:rPr>
              <w:t>.</w:t>
            </w:r>
            <w:r>
              <w:rPr>
                <w:rFonts w:hint="eastAsia"/>
                <w:b/>
              </w:rPr>
              <w:t>3</w:t>
            </w:r>
            <w:r>
              <w:rPr>
                <w:b/>
              </w:rPr>
              <w:t>、</w:t>
            </w:r>
            <w:r>
              <w:rPr>
                <w:rFonts w:hint="eastAsia"/>
                <w:b/>
              </w:rPr>
              <w:t>排水方式</w:t>
            </w:r>
          </w:p>
          <w:p>
            <w:pPr>
              <w:pStyle w:val="5"/>
              <w:adjustRightInd/>
              <w:spacing w:beforeLines="0" w:line="520" w:lineRule="exact"/>
              <w:ind w:firstLine="480"/>
              <w:contextualSpacing/>
              <w:rPr>
                <w:rFonts w:eastAsia="新宋体"/>
              </w:rPr>
            </w:pPr>
            <w:r>
              <w:rPr>
                <w:rFonts w:hint="eastAsia" w:eastAsia="新宋体"/>
              </w:rPr>
              <w:t>本工程确定岳阳市君山区中心城区旅游路片区排水体制为完全分流制，污水利用重力流的方式通过污水干管进入君山污水处理厂，雨水充分利用地势和水体，通过管网就近排入水体。</w:t>
            </w:r>
          </w:p>
          <w:p>
            <w:pPr>
              <w:pStyle w:val="5"/>
              <w:adjustRightInd/>
              <w:spacing w:beforeLines="0" w:line="520" w:lineRule="exact"/>
              <w:ind w:firstLine="482"/>
              <w:contextualSpacing/>
              <w:rPr>
                <w:b/>
              </w:rPr>
            </w:pPr>
            <w:r>
              <w:rPr>
                <w:rFonts w:hint="eastAsia"/>
                <w:b/>
              </w:rPr>
              <w:t>3</w:t>
            </w:r>
            <w:r>
              <w:rPr>
                <w:b/>
              </w:rPr>
              <w:t>.</w:t>
            </w:r>
            <w:r>
              <w:rPr>
                <w:rFonts w:hint="eastAsia"/>
                <w:b/>
              </w:rPr>
              <w:t>4</w:t>
            </w:r>
            <w:r>
              <w:rPr>
                <w:b/>
              </w:rPr>
              <w:t>、</w:t>
            </w:r>
            <w:r>
              <w:rPr>
                <w:rFonts w:hint="eastAsia"/>
                <w:b/>
              </w:rPr>
              <w:t>管道连接</w:t>
            </w:r>
          </w:p>
          <w:p>
            <w:pPr>
              <w:snapToGrid w:val="0"/>
              <w:spacing w:line="520" w:lineRule="exact"/>
              <w:ind w:firstLine="480" w:firstLineChars="200"/>
              <w:contextualSpacing/>
              <w:rPr>
                <w:rFonts w:eastAsia="新宋体"/>
                <w:sz w:val="24"/>
              </w:rPr>
            </w:pPr>
            <w:r>
              <w:rPr>
                <w:rFonts w:hint="eastAsia" w:eastAsia="新宋体"/>
                <w:sz w:val="24"/>
              </w:rPr>
              <w:t>(1)HDPE双壁波纹管连接采用承插橡胶圈密封方式；钢带增强HDPE排水管采用承插式电熔连接: 钢管采用焊接连接，加强级防腐；钢筋混凝土管采用承插连接。</w:t>
            </w:r>
          </w:p>
          <w:p>
            <w:pPr>
              <w:snapToGrid w:val="0"/>
              <w:spacing w:line="520" w:lineRule="exact"/>
              <w:ind w:firstLine="480" w:firstLineChars="200"/>
              <w:contextualSpacing/>
              <w:rPr>
                <w:rFonts w:eastAsia="新宋体"/>
                <w:sz w:val="24"/>
              </w:rPr>
            </w:pPr>
            <w:r>
              <w:rPr>
                <w:rFonts w:hint="eastAsia" w:eastAsia="新宋体"/>
                <w:sz w:val="24"/>
              </w:rPr>
              <w:t>(2)排水支管与干管或总管之间在检查井内的连接，采用水面或管顶平接，管道转弯和交接处，其水流转角不小于900。</w:t>
            </w:r>
          </w:p>
          <w:p>
            <w:pPr>
              <w:snapToGrid w:val="0"/>
              <w:spacing w:line="520" w:lineRule="exact"/>
              <w:ind w:firstLine="480" w:firstLineChars="200"/>
              <w:contextualSpacing/>
              <w:rPr>
                <w:rFonts w:eastAsia="新宋体"/>
                <w:sz w:val="24"/>
              </w:rPr>
            </w:pPr>
            <w:r>
              <w:rPr>
                <w:rFonts w:hint="eastAsia" w:eastAsia="新宋体"/>
                <w:sz w:val="24"/>
              </w:rPr>
              <w:t>(3) 压力管根据管径、转角、试压标准和接口摩擦力等因素，在垂直或水平方向转变处设置支墩。</w:t>
            </w:r>
          </w:p>
          <w:p>
            <w:pPr>
              <w:snapToGrid w:val="0"/>
              <w:spacing w:line="520" w:lineRule="exact"/>
              <w:ind w:firstLine="240" w:firstLineChars="100"/>
              <w:contextualSpacing/>
              <w:rPr>
                <w:rFonts w:eastAsia="新宋体"/>
                <w:sz w:val="24"/>
              </w:rPr>
            </w:pPr>
            <w:r>
              <w:rPr>
                <w:rFonts w:hint="eastAsia" w:eastAsia="新宋体"/>
                <w:sz w:val="24"/>
              </w:rPr>
              <w:t xml:space="preserve">  (4) 压力管和自流管连接时，设消能设施。</w:t>
            </w:r>
          </w:p>
          <w:p>
            <w:pPr>
              <w:pStyle w:val="5"/>
              <w:adjustRightInd/>
              <w:spacing w:beforeLines="0" w:line="520" w:lineRule="exact"/>
              <w:ind w:firstLine="482"/>
              <w:contextualSpacing/>
              <w:rPr>
                <w:b/>
              </w:rPr>
            </w:pPr>
            <w:r>
              <w:rPr>
                <w:rFonts w:hint="eastAsia"/>
                <w:b/>
              </w:rPr>
              <w:t>3</w:t>
            </w:r>
            <w:r>
              <w:rPr>
                <w:b/>
              </w:rPr>
              <w:t>.</w:t>
            </w:r>
            <w:r>
              <w:rPr>
                <w:rFonts w:hint="eastAsia"/>
                <w:b/>
              </w:rPr>
              <w:t>5</w:t>
            </w:r>
            <w:r>
              <w:rPr>
                <w:b/>
              </w:rPr>
              <w:t>、</w:t>
            </w:r>
            <w:r>
              <w:rPr>
                <w:rFonts w:hint="eastAsia"/>
                <w:b/>
              </w:rPr>
              <w:t>纳污区域及纳污性质</w:t>
            </w:r>
          </w:p>
          <w:p>
            <w:pPr>
              <w:snapToGrid w:val="0"/>
              <w:spacing w:line="520" w:lineRule="exact"/>
              <w:ind w:firstLine="480" w:firstLineChars="200"/>
              <w:contextualSpacing/>
              <w:rPr>
                <w:kern w:val="0"/>
                <w:sz w:val="24"/>
                <w:szCs w:val="24"/>
              </w:rPr>
            </w:pPr>
            <w:r>
              <w:rPr>
                <w:kern w:val="0"/>
                <w:sz w:val="24"/>
                <w:szCs w:val="24"/>
              </w:rPr>
              <w:t>根据《君山区柳林洲镇镇区排水工程专项规划》，柳林洲街道污水主要分为两个区，项目纳污区域为光明路以东片区和</w:t>
            </w:r>
            <w:r>
              <w:rPr>
                <w:rFonts w:hint="eastAsia"/>
                <w:kern w:val="0"/>
                <w:sz w:val="24"/>
                <w:szCs w:val="24"/>
              </w:rPr>
              <w:t>旅游路片区</w:t>
            </w:r>
            <w:r>
              <w:rPr>
                <w:kern w:val="0"/>
                <w:sz w:val="24"/>
                <w:szCs w:val="24"/>
              </w:rPr>
              <w:t>，本项目纳污范围主要为</w:t>
            </w:r>
            <w:r>
              <w:rPr>
                <w:rFonts w:hint="eastAsia"/>
                <w:kern w:val="0"/>
                <w:sz w:val="24"/>
                <w:szCs w:val="24"/>
              </w:rPr>
              <w:t>旅游路</w:t>
            </w:r>
            <w:r>
              <w:rPr>
                <w:kern w:val="0"/>
                <w:sz w:val="24"/>
                <w:szCs w:val="24"/>
              </w:rPr>
              <w:t>片区，项目污水通过污水管网汇至</w:t>
            </w:r>
            <w:r>
              <w:rPr>
                <w:rFonts w:hint="eastAsia"/>
                <w:kern w:val="0"/>
                <w:sz w:val="24"/>
                <w:szCs w:val="24"/>
              </w:rPr>
              <w:t>君山污水处理一厂</w:t>
            </w:r>
            <w:r>
              <w:rPr>
                <w:kern w:val="0"/>
                <w:sz w:val="24"/>
                <w:szCs w:val="24"/>
              </w:rPr>
              <w:t>。</w:t>
            </w:r>
          </w:p>
          <w:p>
            <w:pPr>
              <w:snapToGrid w:val="0"/>
              <w:spacing w:line="520" w:lineRule="exact"/>
              <w:ind w:firstLine="480" w:firstLineChars="200"/>
              <w:contextualSpacing/>
              <w:rPr>
                <w:kern w:val="0"/>
                <w:sz w:val="24"/>
                <w:szCs w:val="24"/>
              </w:rPr>
            </w:pPr>
            <w:r>
              <w:rPr>
                <w:kern w:val="0"/>
                <w:sz w:val="24"/>
                <w:szCs w:val="24"/>
              </w:rPr>
              <w:t>本项目排水管网主要接纳君山中心城区</w:t>
            </w:r>
            <w:r>
              <w:rPr>
                <w:rFonts w:hint="eastAsia"/>
                <w:kern w:val="0"/>
                <w:sz w:val="24"/>
                <w:szCs w:val="24"/>
              </w:rPr>
              <w:t>旅游路</w:t>
            </w:r>
            <w:r>
              <w:rPr>
                <w:kern w:val="0"/>
                <w:sz w:val="24"/>
                <w:szCs w:val="24"/>
              </w:rPr>
              <w:t>片区生活污水和工业废水，经污水管网汇至送往</w:t>
            </w:r>
            <w:r>
              <w:rPr>
                <w:rFonts w:hint="eastAsia"/>
                <w:kern w:val="0"/>
                <w:sz w:val="24"/>
                <w:szCs w:val="24"/>
              </w:rPr>
              <w:t>君山污水处理一厂</w:t>
            </w:r>
            <w:r>
              <w:rPr>
                <w:kern w:val="0"/>
                <w:sz w:val="24"/>
                <w:szCs w:val="24"/>
              </w:rPr>
              <w:t>。</w:t>
            </w:r>
          </w:p>
          <w:p>
            <w:pPr>
              <w:pStyle w:val="5"/>
              <w:adjustRightInd/>
              <w:spacing w:beforeLines="0" w:line="520" w:lineRule="exact"/>
              <w:ind w:firstLine="482"/>
              <w:contextualSpacing/>
              <w:rPr>
                <w:b/>
              </w:rPr>
            </w:pPr>
            <w:r>
              <w:rPr>
                <w:rFonts w:hint="eastAsia"/>
                <w:b/>
              </w:rPr>
              <w:t>3</w:t>
            </w:r>
            <w:r>
              <w:rPr>
                <w:b/>
              </w:rPr>
              <w:t>.</w:t>
            </w:r>
            <w:r>
              <w:rPr>
                <w:rFonts w:hint="eastAsia"/>
                <w:b/>
              </w:rPr>
              <w:t>6</w:t>
            </w:r>
            <w:r>
              <w:rPr>
                <w:b/>
              </w:rPr>
              <w:t>、</w:t>
            </w:r>
            <w:r>
              <w:rPr>
                <w:rFonts w:hint="eastAsia"/>
                <w:b/>
              </w:rPr>
              <w:t>施工方案</w:t>
            </w:r>
          </w:p>
          <w:p>
            <w:pPr>
              <w:snapToGrid w:val="0"/>
              <w:spacing w:line="520" w:lineRule="exact"/>
              <w:ind w:firstLine="480" w:firstLineChars="200"/>
              <w:contextualSpacing/>
              <w:rPr>
                <w:kern w:val="0"/>
                <w:sz w:val="24"/>
                <w:szCs w:val="24"/>
              </w:rPr>
            </w:pPr>
            <w:r>
              <w:rPr>
                <w:kern w:val="0"/>
                <w:sz w:val="24"/>
                <w:szCs w:val="24"/>
              </w:rPr>
              <w:t>项目管网埋深较浅，主要采取明挖开槽的方法，主要沿现有道路铺设。</w:t>
            </w:r>
          </w:p>
          <w:p>
            <w:pPr>
              <w:snapToGrid w:val="0"/>
              <w:spacing w:line="520" w:lineRule="exact"/>
              <w:ind w:firstLine="480" w:firstLineChars="200"/>
              <w:contextualSpacing/>
              <w:rPr>
                <w:kern w:val="0"/>
                <w:sz w:val="24"/>
                <w:szCs w:val="24"/>
              </w:rPr>
            </w:pPr>
            <w:r>
              <w:rPr>
                <w:kern w:val="0"/>
                <w:sz w:val="24"/>
                <w:szCs w:val="24"/>
              </w:rPr>
              <w:t>（1）管道施工</w:t>
            </w:r>
          </w:p>
          <w:p>
            <w:pPr>
              <w:snapToGrid w:val="0"/>
              <w:spacing w:line="520" w:lineRule="exact"/>
              <w:ind w:firstLine="480" w:firstLineChars="200"/>
              <w:contextualSpacing/>
              <w:rPr>
                <w:kern w:val="0"/>
                <w:sz w:val="24"/>
                <w:szCs w:val="24"/>
              </w:rPr>
            </w:pPr>
            <w:r>
              <w:rPr>
                <w:kern w:val="0"/>
                <w:sz w:val="24"/>
                <w:szCs w:val="24"/>
              </w:rPr>
              <w:t>1）管槽开挖</w:t>
            </w:r>
          </w:p>
          <w:p>
            <w:pPr>
              <w:snapToGrid w:val="0"/>
              <w:spacing w:line="520" w:lineRule="exact"/>
              <w:ind w:firstLine="480" w:firstLineChars="200"/>
              <w:contextualSpacing/>
              <w:rPr>
                <w:kern w:val="0"/>
                <w:sz w:val="24"/>
                <w:szCs w:val="24"/>
              </w:rPr>
            </w:pPr>
            <w:r>
              <w:rPr>
                <w:kern w:val="0"/>
                <w:sz w:val="24"/>
                <w:szCs w:val="24"/>
              </w:rPr>
              <w:t>根据施工地段的土质和埋设深度、地面构筑物等情况确定沟槽采用形式，沟槽分直槽、打开槽和混合槽三种形式。沟槽宽度根据管道直径来确定，应便于管道铺设和安装，同时考虑便于夯实机操作和地下水排放。对于深基坑管槽，地下水位较高时，应先降水后开挖，必要时应对基坑采取支护措施，防止基坑垮塌。</w:t>
            </w:r>
          </w:p>
          <w:p>
            <w:pPr>
              <w:snapToGrid w:val="0"/>
              <w:spacing w:line="520" w:lineRule="exact"/>
              <w:ind w:firstLine="480" w:firstLineChars="200"/>
              <w:contextualSpacing/>
              <w:rPr>
                <w:kern w:val="0"/>
                <w:sz w:val="24"/>
                <w:szCs w:val="24"/>
              </w:rPr>
            </w:pPr>
            <w:r>
              <w:rPr>
                <w:kern w:val="0"/>
                <w:sz w:val="24"/>
                <w:szCs w:val="24"/>
              </w:rPr>
              <w:t>沟槽开挖采用机械和人工开挖，挖土方时槽底需留200mm厚的土层，在铺设管道后铺管道基础前，有人工清除平整沟槽，严禁扰动槽底土壤，如发生超挖，严禁用土回填，可采用砂卵石回填。</w:t>
            </w:r>
          </w:p>
          <w:p>
            <w:pPr>
              <w:snapToGrid w:val="0"/>
              <w:spacing w:line="520" w:lineRule="exact"/>
              <w:ind w:firstLine="480" w:firstLineChars="200"/>
              <w:contextualSpacing/>
              <w:rPr>
                <w:kern w:val="0"/>
                <w:sz w:val="24"/>
                <w:szCs w:val="24"/>
              </w:rPr>
            </w:pPr>
            <w:r>
              <w:rPr>
                <w:kern w:val="0"/>
                <w:sz w:val="24"/>
                <w:szCs w:val="24"/>
              </w:rPr>
              <w:t>2）管道基础</w:t>
            </w:r>
          </w:p>
          <w:p>
            <w:pPr>
              <w:snapToGrid w:val="0"/>
              <w:spacing w:line="520" w:lineRule="exact"/>
              <w:ind w:firstLine="480" w:firstLineChars="200"/>
              <w:contextualSpacing/>
              <w:rPr>
                <w:kern w:val="0"/>
                <w:sz w:val="24"/>
                <w:szCs w:val="24"/>
              </w:rPr>
            </w:pPr>
            <w:r>
              <w:rPr>
                <w:kern w:val="0"/>
                <w:sz w:val="24"/>
                <w:szCs w:val="24"/>
              </w:rPr>
              <w:t>埋于道路下的管道，当管顶覆盖层厚度小于700mm时，应在管道四周填埋200mm的C20素混凝土；当管槽内地下水位较高，经排水处理后，采用1000mm厚C10素混凝土垫层封闭槽底，再铺100</w:t>
            </w:r>
            <w:r>
              <w:rPr>
                <w:rFonts w:hint="eastAsia"/>
                <w:kern w:val="0"/>
                <w:sz w:val="24"/>
                <w:szCs w:val="24"/>
              </w:rPr>
              <w:t>~</w:t>
            </w:r>
            <w:r>
              <w:rPr>
                <w:kern w:val="0"/>
                <w:sz w:val="24"/>
                <w:szCs w:val="24"/>
              </w:rPr>
              <w:t>200mm厚砂弧基；对于局部软土地基，拟采用钢筋混凝土板、砂弧基进行处理；对于岩基，拟采用砂弧基进行处理。</w:t>
            </w:r>
          </w:p>
          <w:p>
            <w:pPr>
              <w:snapToGrid w:val="0"/>
              <w:spacing w:line="520" w:lineRule="exact"/>
              <w:ind w:firstLine="480" w:firstLineChars="200"/>
              <w:contextualSpacing/>
              <w:rPr>
                <w:kern w:val="0"/>
                <w:sz w:val="24"/>
                <w:szCs w:val="24"/>
              </w:rPr>
            </w:pPr>
            <w:r>
              <w:rPr>
                <w:kern w:val="0"/>
                <w:sz w:val="24"/>
                <w:szCs w:val="24"/>
              </w:rPr>
              <w:t>3）管槽内回填</w:t>
            </w:r>
          </w:p>
          <w:p>
            <w:pPr>
              <w:snapToGrid w:val="0"/>
              <w:spacing w:line="520" w:lineRule="exact"/>
              <w:ind w:firstLine="480" w:firstLineChars="200"/>
              <w:contextualSpacing/>
              <w:rPr>
                <w:kern w:val="0"/>
                <w:sz w:val="24"/>
                <w:szCs w:val="24"/>
              </w:rPr>
            </w:pPr>
            <w:r>
              <w:rPr>
                <w:kern w:val="0"/>
                <w:sz w:val="24"/>
                <w:szCs w:val="24"/>
              </w:rPr>
              <w:t>管槽回填土时先将槽内积水排除，再进行分层回填并逐层夯实；填埋过程中重型设备至少在管顶覆土1m厚以后才能使用。</w:t>
            </w:r>
          </w:p>
          <w:p>
            <w:pPr>
              <w:snapToGrid w:val="0"/>
              <w:spacing w:line="520" w:lineRule="exact"/>
              <w:ind w:firstLine="480" w:firstLineChars="200"/>
              <w:contextualSpacing/>
              <w:rPr>
                <w:kern w:val="0"/>
                <w:sz w:val="24"/>
                <w:szCs w:val="24"/>
              </w:rPr>
            </w:pPr>
            <w:r>
              <w:rPr>
                <w:kern w:val="0"/>
                <w:sz w:val="24"/>
                <w:szCs w:val="24"/>
              </w:rPr>
              <w:t>（2）检查井设计</w:t>
            </w:r>
          </w:p>
          <w:p>
            <w:pPr>
              <w:snapToGrid w:val="0"/>
              <w:spacing w:line="520" w:lineRule="exact"/>
              <w:ind w:firstLine="480" w:firstLineChars="200"/>
              <w:contextualSpacing/>
              <w:rPr>
                <w:kern w:val="0"/>
                <w:sz w:val="24"/>
                <w:szCs w:val="24"/>
              </w:rPr>
            </w:pPr>
            <w:r>
              <w:rPr>
                <w:rFonts w:hint="eastAsia"/>
                <w:kern w:val="0"/>
                <w:sz w:val="24"/>
                <w:szCs w:val="24"/>
              </w:rPr>
              <w:t xml:space="preserve"> 本次设计的检查井均采用钢筋混凝土检查井并且设置防坠网。在沿河道路与亲水平台之间采用密封井盖,在车道或停车位等有较高承载要求的路面或部位采用重型防盗铸铁型井盖，其它部位采用轻型防盗铸铁井盖。</w:t>
            </w:r>
          </w:p>
          <w:p>
            <w:pPr>
              <w:snapToGrid w:val="0"/>
              <w:spacing w:line="520" w:lineRule="exact"/>
              <w:ind w:firstLine="480" w:firstLineChars="200"/>
              <w:contextualSpacing/>
              <w:rPr>
                <w:kern w:val="0"/>
                <w:sz w:val="24"/>
                <w:szCs w:val="24"/>
              </w:rPr>
            </w:pPr>
            <w:r>
              <w:rPr>
                <w:rFonts w:hint="eastAsia"/>
                <w:kern w:val="0"/>
                <w:sz w:val="24"/>
                <w:szCs w:val="24"/>
              </w:rPr>
              <w:t>（3）施工条件</w:t>
            </w:r>
          </w:p>
          <w:p>
            <w:pPr>
              <w:snapToGrid w:val="0"/>
              <w:spacing w:line="520" w:lineRule="exact"/>
              <w:ind w:firstLine="480" w:firstLineChars="200"/>
              <w:contextualSpacing/>
              <w:rPr>
                <w:kern w:val="0"/>
                <w:sz w:val="24"/>
                <w:szCs w:val="24"/>
              </w:rPr>
            </w:pPr>
            <w:r>
              <w:rPr>
                <w:rFonts w:hint="eastAsia"/>
                <w:kern w:val="0"/>
                <w:sz w:val="24"/>
                <w:szCs w:val="24"/>
              </w:rPr>
              <w:t>本项目主要为君山区中心城区旅游路片区铺设管道，项目区域内交通便利，工程所需的器材和设备均可通过现有道路运抵施工现场，无需设置施工便道。</w:t>
            </w:r>
          </w:p>
          <w:p>
            <w:pPr>
              <w:snapToGrid w:val="0"/>
              <w:spacing w:line="520" w:lineRule="exact"/>
              <w:ind w:firstLine="480" w:firstLineChars="200"/>
              <w:contextualSpacing/>
              <w:rPr>
                <w:kern w:val="0"/>
                <w:sz w:val="24"/>
                <w:szCs w:val="24"/>
              </w:rPr>
            </w:pPr>
            <w:r>
              <w:rPr>
                <w:kern w:val="0"/>
                <w:sz w:val="24"/>
                <w:szCs w:val="24"/>
              </w:rPr>
              <w:t>（4）施工材料来源</w:t>
            </w:r>
          </w:p>
          <w:p>
            <w:pPr>
              <w:snapToGrid w:val="0"/>
              <w:spacing w:line="520" w:lineRule="exact"/>
              <w:ind w:firstLine="480" w:firstLineChars="200"/>
              <w:contextualSpacing/>
              <w:rPr>
                <w:kern w:val="0"/>
                <w:sz w:val="24"/>
                <w:szCs w:val="24"/>
              </w:rPr>
            </w:pPr>
            <w:r>
              <w:rPr>
                <w:kern w:val="0"/>
                <w:sz w:val="24"/>
                <w:szCs w:val="24"/>
              </w:rPr>
              <w:t>君山区有大量的砂砾厂，可就近购买；工程所需块石料可从君山区采石场购买。工程所需混凝土、钢筋（材）、木材等建材可从君山区相应物资部门购买。项目采用商品混凝土，施工现场不设混凝土搅拌站。施工用水可直接从临近道路接管或直接从项目附近沟渠抽取，施工用电就近接电网线路，不另备电源。</w:t>
            </w:r>
          </w:p>
          <w:p>
            <w:pPr>
              <w:snapToGrid w:val="0"/>
              <w:spacing w:line="520" w:lineRule="exact"/>
              <w:ind w:firstLine="480" w:firstLineChars="200"/>
              <w:contextualSpacing/>
              <w:rPr>
                <w:kern w:val="0"/>
                <w:sz w:val="24"/>
                <w:szCs w:val="24"/>
              </w:rPr>
            </w:pPr>
            <w:r>
              <w:rPr>
                <w:rFonts w:hint="eastAsia"/>
                <w:kern w:val="0"/>
                <w:sz w:val="24"/>
                <w:szCs w:val="24"/>
              </w:rPr>
              <w:t>（5）施工场地安排</w:t>
            </w:r>
          </w:p>
          <w:p>
            <w:pPr>
              <w:snapToGrid w:val="0"/>
              <w:spacing w:line="520" w:lineRule="exact"/>
              <w:ind w:firstLine="480" w:firstLineChars="200"/>
              <w:contextualSpacing/>
              <w:rPr>
                <w:kern w:val="0"/>
                <w:sz w:val="24"/>
                <w:szCs w:val="24"/>
              </w:rPr>
            </w:pPr>
            <w:r>
              <w:rPr>
                <w:rFonts w:hint="eastAsia"/>
                <w:kern w:val="0"/>
                <w:sz w:val="24"/>
                <w:szCs w:val="24"/>
              </w:rPr>
              <w:t>项目分段进行施工，施工人员租用附近民房进行食宿，不另设施工营地。项目属于线性工程，施工材料主要堆放于项目1.5m宽的施工作业带内，不另设施工场地。</w:t>
            </w:r>
          </w:p>
          <w:p>
            <w:pPr>
              <w:snapToGrid w:val="0"/>
              <w:spacing w:line="520" w:lineRule="exact"/>
              <w:ind w:firstLine="480" w:firstLineChars="200"/>
              <w:contextualSpacing/>
              <w:rPr>
                <w:kern w:val="0"/>
                <w:sz w:val="24"/>
                <w:szCs w:val="24"/>
              </w:rPr>
            </w:pPr>
            <w:r>
              <w:rPr>
                <w:rFonts w:hint="eastAsia"/>
                <w:kern w:val="0"/>
                <w:sz w:val="24"/>
                <w:szCs w:val="24"/>
              </w:rPr>
              <w:t>（6）交通管制</w:t>
            </w:r>
          </w:p>
          <w:p>
            <w:pPr>
              <w:snapToGrid w:val="0"/>
              <w:spacing w:line="520" w:lineRule="exact"/>
              <w:ind w:firstLine="480" w:firstLineChars="200"/>
              <w:contextualSpacing/>
              <w:rPr>
                <w:kern w:val="0"/>
                <w:sz w:val="24"/>
                <w:szCs w:val="24"/>
              </w:rPr>
            </w:pPr>
            <w:r>
              <w:rPr>
                <w:rFonts w:hint="eastAsia"/>
                <w:kern w:val="0"/>
                <w:sz w:val="24"/>
                <w:szCs w:val="24"/>
              </w:rPr>
              <w:t>项目施工及材料的运输对项目区域交通造成一定程度的堵塞，在施工路段特别是路口交叉处应加强交通治理和安全保障，设置交通屏障和警示灯等措施，确保交通有序，行人安全。开工前，准备好施工警示牌、安全标识牌和交通安全设施；在施工范围和施工范围前后1km设置施工警示牌、安全标识牌、限速标识牌和各项安全设施；施工期间，设立专门交通指挥人员对过往车辆进行指挥；施工机械由专门人员进行指挥，严禁违章驾驶，严禁施工机械驶入过往车辆行驶车道；各类安全标识牌必须为反光材料制成，标识牌配有安全警示灯。</w:t>
            </w:r>
          </w:p>
          <w:p>
            <w:pPr>
              <w:snapToGrid w:val="0"/>
              <w:spacing w:line="520" w:lineRule="exact"/>
              <w:ind w:firstLine="480" w:firstLineChars="200"/>
              <w:contextualSpacing/>
              <w:rPr>
                <w:kern w:val="0"/>
                <w:sz w:val="24"/>
                <w:szCs w:val="24"/>
              </w:rPr>
            </w:pPr>
            <w:r>
              <w:rPr>
                <w:rFonts w:hint="eastAsia"/>
                <w:kern w:val="0"/>
                <w:sz w:val="24"/>
                <w:szCs w:val="24"/>
              </w:rPr>
              <w:t>（7）与其他部门的衔接工作</w:t>
            </w:r>
          </w:p>
          <w:p>
            <w:pPr>
              <w:snapToGrid w:val="0"/>
              <w:spacing w:line="520" w:lineRule="exact"/>
              <w:ind w:firstLine="480" w:firstLineChars="200"/>
              <w:contextualSpacing/>
              <w:rPr>
                <w:kern w:val="0"/>
                <w:sz w:val="24"/>
                <w:szCs w:val="24"/>
                <w:u w:val="single"/>
              </w:rPr>
            </w:pPr>
            <w:r>
              <w:rPr>
                <w:rFonts w:hint="eastAsia"/>
                <w:kern w:val="0"/>
                <w:sz w:val="24"/>
                <w:szCs w:val="24"/>
              </w:rPr>
              <w:t>施工前，与项目区域通讯、电力、水利、规划等部门做好相应的衔接工作，明确各施工区域相关管线的布置情况，以避免因项目的开挖而造成区域其他管线受损的情况。</w:t>
            </w:r>
          </w:p>
          <w:p>
            <w:pPr>
              <w:snapToGrid w:val="0"/>
              <w:spacing w:line="520" w:lineRule="exact"/>
              <w:ind w:firstLine="562" w:firstLineChars="200"/>
              <w:contextualSpacing/>
              <w:rPr>
                <w:b/>
                <w:sz w:val="28"/>
                <w:szCs w:val="28"/>
              </w:rPr>
            </w:pPr>
            <w:r>
              <w:rPr>
                <w:rFonts w:hint="eastAsia"/>
                <w:b/>
                <w:sz w:val="28"/>
                <w:szCs w:val="28"/>
              </w:rPr>
              <w:t>4、项目用地现状</w:t>
            </w:r>
          </w:p>
          <w:p>
            <w:pPr>
              <w:snapToGrid w:val="0"/>
              <w:spacing w:line="520" w:lineRule="exact"/>
              <w:ind w:firstLine="480" w:firstLineChars="200"/>
              <w:contextualSpacing/>
              <w:rPr>
                <w:color w:val="00B0F0"/>
                <w:kern w:val="0"/>
                <w:sz w:val="24"/>
                <w:szCs w:val="24"/>
                <w:highlight w:val="yellow"/>
              </w:rPr>
            </w:pPr>
            <w:r>
              <w:rPr>
                <w:kern w:val="0"/>
                <w:sz w:val="24"/>
                <w:szCs w:val="24"/>
              </w:rPr>
              <w:t>本项目为</w:t>
            </w:r>
            <w:r>
              <w:rPr>
                <w:rFonts w:hint="eastAsia"/>
                <w:sz w:val="24"/>
              </w:rPr>
              <w:t>岳阳市君山区中心城区旅游路片排水工程</w:t>
            </w:r>
            <w:r>
              <w:rPr>
                <w:kern w:val="0"/>
                <w:sz w:val="24"/>
                <w:szCs w:val="24"/>
              </w:rPr>
              <w:t>，项目管网主要沿</w:t>
            </w:r>
            <w:r>
              <w:rPr>
                <w:rFonts w:hint="eastAsia"/>
                <w:kern w:val="0"/>
                <w:sz w:val="24"/>
                <w:szCs w:val="24"/>
              </w:rPr>
              <w:t>旅游路</w:t>
            </w:r>
            <w:r>
              <w:rPr>
                <w:kern w:val="0"/>
                <w:sz w:val="24"/>
                <w:szCs w:val="24"/>
              </w:rPr>
              <w:t>已建道路铺设，项目占地主要为临时占地，临时占地主要为施工期项目占用的施工作业带，其宽度约为1.5m。根据现场调查，临时占地的土地面积约为</w:t>
            </w:r>
            <w:r>
              <w:rPr>
                <w:rFonts w:hint="eastAsia"/>
                <w:kern w:val="0"/>
                <w:sz w:val="24"/>
                <w:szCs w:val="24"/>
              </w:rPr>
              <w:t>13271</w:t>
            </w:r>
            <w:r>
              <w:rPr>
                <w:kern w:val="0"/>
                <w:sz w:val="24"/>
                <w:szCs w:val="24"/>
              </w:rPr>
              <w:t>m</w:t>
            </w:r>
            <w:r>
              <w:rPr>
                <w:kern w:val="0"/>
                <w:sz w:val="24"/>
                <w:szCs w:val="24"/>
                <w:vertAlign w:val="superscript"/>
              </w:rPr>
              <w:t>2</w:t>
            </w:r>
            <w:r>
              <w:rPr>
                <w:kern w:val="0"/>
                <w:sz w:val="24"/>
                <w:szCs w:val="24"/>
              </w:rPr>
              <w:t>，主要为城市道路用地、农田及荒地</w:t>
            </w:r>
            <w:r>
              <w:rPr>
                <w:color w:val="0000FF"/>
                <w:kern w:val="0"/>
                <w:sz w:val="24"/>
                <w:szCs w:val="24"/>
              </w:rPr>
              <w:t>。</w:t>
            </w:r>
          </w:p>
          <w:p>
            <w:pPr>
              <w:snapToGrid w:val="0"/>
              <w:spacing w:line="520" w:lineRule="exact"/>
              <w:ind w:firstLine="562" w:firstLineChars="200"/>
              <w:contextualSpacing/>
              <w:rPr>
                <w:b/>
                <w:sz w:val="28"/>
                <w:szCs w:val="28"/>
              </w:rPr>
            </w:pPr>
            <w:r>
              <w:rPr>
                <w:rFonts w:hint="eastAsia"/>
                <w:b/>
                <w:sz w:val="28"/>
                <w:szCs w:val="28"/>
              </w:rPr>
              <w:t>5、土石方平衡</w:t>
            </w:r>
          </w:p>
          <w:p>
            <w:pPr>
              <w:snapToGrid w:val="0"/>
              <w:spacing w:line="520" w:lineRule="exact"/>
              <w:ind w:firstLine="480" w:firstLineChars="200"/>
              <w:contextualSpacing/>
              <w:rPr>
                <w:sz w:val="24"/>
                <w:szCs w:val="24"/>
                <w:vertAlign w:val="superscript"/>
              </w:rPr>
            </w:pPr>
            <w:r>
              <w:rPr>
                <w:kern w:val="0"/>
                <w:sz w:val="24"/>
                <w:szCs w:val="24"/>
              </w:rPr>
              <w:t>根据现场勘查及建设方提供的资料，本项目用地现状为荒地、农田和城市道路用地。</w:t>
            </w:r>
            <w:r>
              <w:rPr>
                <w:rFonts w:hint="eastAsia"/>
                <w:kern w:val="0"/>
                <w:sz w:val="24"/>
                <w:szCs w:val="24"/>
              </w:rPr>
              <w:t>在施工期为埋没管线将要挖1</w:t>
            </w:r>
            <w:r>
              <w:rPr>
                <w:rFonts w:ascii="Calibri" w:hAnsi="Calibri" w:cs="Calibri"/>
                <w:kern w:val="0"/>
                <w:sz w:val="24"/>
                <w:szCs w:val="24"/>
              </w:rPr>
              <w:t>─</w:t>
            </w:r>
            <w:r>
              <w:rPr>
                <w:rFonts w:hint="eastAsia" w:cstheme="minorHAnsi"/>
                <w:kern w:val="0"/>
                <w:sz w:val="24"/>
                <w:szCs w:val="24"/>
              </w:rPr>
              <w:t>1.5米深，1</w:t>
            </w:r>
            <w:r>
              <w:rPr>
                <w:rFonts w:ascii="Calibri" w:hAnsi="Calibri" w:cs="Calibri"/>
                <w:kern w:val="0"/>
                <w:sz w:val="24"/>
                <w:szCs w:val="24"/>
              </w:rPr>
              <w:t>─</w:t>
            </w:r>
            <w:r>
              <w:rPr>
                <w:rFonts w:hint="eastAsia" w:ascii="Calibri" w:hAnsi="Calibri" w:cs="Calibri"/>
                <w:kern w:val="0"/>
                <w:sz w:val="24"/>
                <w:szCs w:val="24"/>
              </w:rPr>
              <w:t>1.2米宽的管道沟槽，经业主提供资料挖方量为38682.159m</w:t>
            </w:r>
            <w:r>
              <w:rPr>
                <w:rFonts w:hint="eastAsia" w:ascii="Calibri" w:hAnsi="Calibri" w:cs="Calibri"/>
                <w:kern w:val="0"/>
                <w:sz w:val="24"/>
                <w:szCs w:val="24"/>
                <w:vertAlign w:val="superscript"/>
              </w:rPr>
              <w:t>2</w:t>
            </w:r>
            <w:r>
              <w:rPr>
                <w:rFonts w:hint="eastAsia" w:ascii="Calibri" w:hAnsi="Calibri" w:cs="Calibri"/>
                <w:kern w:val="0"/>
                <w:sz w:val="24"/>
                <w:szCs w:val="24"/>
              </w:rPr>
              <w:t>,填方量为26205.859m</w:t>
            </w:r>
            <w:r>
              <w:rPr>
                <w:rFonts w:hint="eastAsia" w:ascii="Calibri" w:hAnsi="Calibri" w:cs="Calibri"/>
                <w:kern w:val="0"/>
                <w:sz w:val="24"/>
                <w:szCs w:val="24"/>
                <w:vertAlign w:val="superscript"/>
              </w:rPr>
              <w:t>2</w:t>
            </w:r>
            <w:r>
              <w:rPr>
                <w:rFonts w:hint="eastAsia" w:ascii="Calibri" w:hAnsi="Calibri" w:cs="Calibri"/>
                <w:kern w:val="0"/>
                <w:sz w:val="24"/>
                <w:szCs w:val="24"/>
              </w:rPr>
              <w:t>，项目弃方约12476.3m</w:t>
            </w:r>
            <w:r>
              <w:rPr>
                <w:rFonts w:hint="eastAsia" w:ascii="Calibri" w:hAnsi="Calibri" w:cs="Calibri"/>
                <w:kern w:val="0"/>
                <w:sz w:val="24"/>
                <w:szCs w:val="24"/>
                <w:vertAlign w:val="superscript"/>
              </w:rPr>
              <w:t>2</w:t>
            </w:r>
            <w:r>
              <w:rPr>
                <w:rFonts w:hint="eastAsia" w:ascii="Calibri" w:hAnsi="Calibri" w:cs="Calibri"/>
                <w:kern w:val="0"/>
                <w:sz w:val="24"/>
                <w:szCs w:val="24"/>
              </w:rPr>
              <w:t>。</w:t>
            </w:r>
            <w:r>
              <w:rPr>
                <w:sz w:val="24"/>
                <w:szCs w:val="24"/>
              </w:rPr>
              <w:t>本项目开挖的填方均可回用于项目挖方，其余的弃方，交由君山区渣土办处理，项目不再单独设弃渣场。</w:t>
            </w:r>
          </w:p>
          <w:p>
            <w:pPr>
              <w:snapToGrid w:val="0"/>
              <w:spacing w:line="520" w:lineRule="exact"/>
              <w:ind w:firstLine="562" w:firstLineChars="200"/>
              <w:contextualSpacing/>
              <w:rPr>
                <w:b/>
                <w:sz w:val="28"/>
                <w:szCs w:val="28"/>
              </w:rPr>
            </w:pPr>
            <w:r>
              <w:rPr>
                <w:rFonts w:hint="eastAsia"/>
                <w:b/>
                <w:sz w:val="28"/>
                <w:szCs w:val="28"/>
              </w:rPr>
              <w:t>6</w:t>
            </w:r>
            <w:r>
              <w:rPr>
                <w:b/>
                <w:sz w:val="28"/>
                <w:szCs w:val="28"/>
              </w:rPr>
              <w:t>、建设进度</w:t>
            </w:r>
          </w:p>
          <w:p>
            <w:pPr>
              <w:snapToGrid w:val="0"/>
              <w:spacing w:line="520" w:lineRule="exact"/>
              <w:ind w:firstLine="480" w:firstLineChars="200"/>
              <w:contextualSpacing/>
              <w:rPr>
                <w:color w:val="FF0000"/>
                <w:sz w:val="24"/>
                <w:szCs w:val="24"/>
              </w:rPr>
            </w:pPr>
            <w:r>
              <w:rPr>
                <w:sz w:val="24"/>
                <w:szCs w:val="24"/>
              </w:rPr>
              <w:t>本项目土建施工于2018年</w:t>
            </w:r>
            <w:r>
              <w:rPr>
                <w:rFonts w:hint="eastAsia"/>
                <w:sz w:val="24"/>
                <w:szCs w:val="24"/>
              </w:rPr>
              <w:t>9</w:t>
            </w:r>
            <w:r>
              <w:rPr>
                <w:sz w:val="24"/>
                <w:szCs w:val="24"/>
              </w:rPr>
              <w:t>月开始施工，建设期约</w:t>
            </w:r>
            <w:r>
              <w:rPr>
                <w:rFonts w:hint="eastAsia"/>
                <w:sz w:val="24"/>
                <w:szCs w:val="24"/>
              </w:rPr>
              <w:t>12</w:t>
            </w:r>
            <w:r>
              <w:rPr>
                <w:sz w:val="24"/>
                <w:szCs w:val="24"/>
              </w:rPr>
              <w:t>个月，预计2019年</w:t>
            </w:r>
            <w:r>
              <w:rPr>
                <w:rFonts w:hint="eastAsia"/>
                <w:sz w:val="24"/>
                <w:szCs w:val="24"/>
              </w:rPr>
              <w:t>9</w:t>
            </w:r>
            <w:r>
              <w:rPr>
                <w:sz w:val="24"/>
                <w:szCs w:val="24"/>
              </w:rPr>
              <w:t>月。</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85" w:type="dxa"/>
            <w:bottom w:w="0" w:type="dxa"/>
            <w:right w:w="85" w:type="dxa"/>
          </w:tblCellMar>
        </w:tblPrEx>
        <w:trPr>
          <w:trHeight w:val="2200" w:hRule="atLeast"/>
          <w:jc w:val="center"/>
        </w:trPr>
        <w:tc>
          <w:tcPr>
            <w:tcW w:w="9496" w:type="dxa"/>
            <w:gridSpan w:val="9"/>
          </w:tcPr>
          <w:p>
            <w:pPr>
              <w:snapToGrid w:val="0"/>
              <w:spacing w:line="520" w:lineRule="exact"/>
              <w:contextualSpacing/>
              <w:rPr>
                <w:b/>
                <w:color w:val="000000"/>
                <w:sz w:val="30"/>
                <w:szCs w:val="30"/>
              </w:rPr>
            </w:pPr>
            <w:r>
              <w:rPr>
                <w:b/>
                <w:color w:val="000000"/>
                <w:sz w:val="30"/>
                <w:szCs w:val="30"/>
              </w:rPr>
              <w:t>与本项目有关的原有污染情况及主要环境问题：</w:t>
            </w:r>
          </w:p>
          <w:p>
            <w:pPr>
              <w:pStyle w:val="21"/>
              <w:autoSpaceDE/>
              <w:autoSpaceDN/>
              <w:adjustRightInd/>
              <w:snapToGrid w:val="0"/>
              <w:spacing w:line="520" w:lineRule="exact"/>
              <w:ind w:firstLine="482" w:firstLineChars="200"/>
              <w:contextualSpacing/>
              <w:jc w:val="both"/>
              <w:rPr>
                <w:rFonts w:ascii="Times New Roman"/>
                <w:b/>
              </w:rPr>
            </w:pPr>
            <w:r>
              <w:rPr>
                <w:rFonts w:ascii="Times New Roman"/>
                <w:b/>
              </w:rPr>
              <w:t>1、</w:t>
            </w:r>
            <w:r>
              <w:rPr>
                <w:rFonts w:hint="eastAsia" w:ascii="Times New Roman"/>
                <w:b/>
              </w:rPr>
              <w:t>存在主要问题</w:t>
            </w:r>
          </w:p>
          <w:p>
            <w:pPr>
              <w:pStyle w:val="21"/>
              <w:autoSpaceDE/>
              <w:autoSpaceDN/>
              <w:adjustRightInd/>
              <w:snapToGrid w:val="0"/>
              <w:spacing w:line="520" w:lineRule="exact"/>
              <w:ind w:firstLine="480" w:firstLineChars="200"/>
              <w:contextualSpacing/>
              <w:jc w:val="both"/>
            </w:pPr>
            <w:r>
              <w:rPr>
                <w:rFonts w:hint="eastAsia"/>
              </w:rPr>
              <w:t>君山</w:t>
            </w:r>
            <w:r>
              <w:t>城区管道建设与维护管理存在一定的困难，造成部分已建的排水管道在一定程度上失去原有的排水功能，或者因管道年久失修、管径偏小等问题而排水不畅，存在一系列问题，</w:t>
            </w:r>
            <w:r>
              <w:rPr>
                <w:rFonts w:hint="eastAsia"/>
              </w:rPr>
              <w:t>主要有以下几个方面：</w:t>
            </w:r>
          </w:p>
          <w:p>
            <w:pPr>
              <w:pStyle w:val="21"/>
              <w:autoSpaceDE/>
              <w:autoSpaceDN/>
              <w:adjustRightInd/>
              <w:snapToGrid w:val="0"/>
              <w:spacing w:line="520" w:lineRule="exact"/>
              <w:ind w:firstLine="480" w:firstLineChars="200"/>
              <w:contextualSpacing/>
              <w:jc w:val="both"/>
              <w:rPr>
                <w:rFonts w:ascii="Times New Roman"/>
              </w:rPr>
            </w:pPr>
            <w:r>
              <w:rPr>
                <w:rFonts w:ascii="Times New Roman"/>
              </w:rPr>
              <w:t>（1）管网缺乏统一规划。随着县城城区范围的迅速扩大，由于没有统一的排水规划设计，新区管道敷设一般结合道路进行，道路修至何处，管道亦敷设至何处。导致许多排水管道无出路或任意接管临时排放，给以后排水管网系统的整治利用增加了</w:t>
            </w:r>
            <w:r>
              <w:rPr>
                <w:rFonts w:hint="eastAsia" w:ascii="Times New Roman"/>
              </w:rPr>
              <w:t>难度。</w:t>
            </w:r>
          </w:p>
          <w:p>
            <w:pPr>
              <w:pStyle w:val="21"/>
              <w:autoSpaceDE/>
              <w:autoSpaceDN/>
              <w:adjustRightInd/>
              <w:snapToGrid w:val="0"/>
              <w:spacing w:line="520" w:lineRule="exact"/>
              <w:ind w:firstLine="480" w:firstLineChars="200"/>
              <w:contextualSpacing/>
              <w:jc w:val="both"/>
              <w:rPr>
                <w:rFonts w:ascii="Times New Roman"/>
              </w:rPr>
            </w:pPr>
            <w:r>
              <w:rPr>
                <w:rFonts w:ascii="Times New Roman"/>
              </w:rPr>
              <w:t>（2）管网建设滞后。尽管</w:t>
            </w:r>
            <w:r>
              <w:rPr>
                <w:rFonts w:hint="eastAsia" w:ascii="Times New Roman"/>
              </w:rPr>
              <w:t>君山区</w:t>
            </w:r>
            <w:r>
              <w:rPr>
                <w:rFonts w:ascii="Times New Roman"/>
              </w:rPr>
              <w:t>近年社会经济发展较快，但市政基础设施建设仍然滞后，管网覆盖范围相对较小，历史欠账较多。目前仅有老城区建设有合流制排水管渠和截污干管，其余片区均为自然散排。目前，</w:t>
            </w:r>
            <w:r>
              <w:rPr>
                <w:rFonts w:hint="eastAsia" w:ascii="Times New Roman"/>
              </w:rPr>
              <w:t>君山区中心厂区光明路以东和以西</w:t>
            </w:r>
            <w:r>
              <w:rPr>
                <w:rFonts w:ascii="Times New Roman"/>
              </w:rPr>
              <w:t>片区都在开始建设或处于建设的前期筹备，现状已经有了较大发展，人口数量也较多，但其污水管网的敷设却严重落后，只有部分小区污水管已建设，但却没有污水干管将污水输送至污水厂进行处理，而是就近散排。滞后的管网建设限制了区域的发展，并且管线的敷设</w:t>
            </w:r>
            <w:r>
              <w:rPr>
                <w:rFonts w:hint="eastAsia" w:ascii="Times New Roman"/>
              </w:rPr>
              <w:t>又会对现状道路造成破坏，不仅影响交通，而且造成一定浪费。</w:t>
            </w:r>
          </w:p>
          <w:p>
            <w:pPr>
              <w:snapToGrid w:val="0"/>
              <w:spacing w:line="520" w:lineRule="exact"/>
              <w:ind w:firstLine="480" w:firstLineChars="200"/>
              <w:contextualSpacing/>
              <w:rPr>
                <w:color w:val="000000"/>
                <w:sz w:val="24"/>
                <w:szCs w:val="24"/>
              </w:rPr>
            </w:pPr>
            <w:r>
              <w:rPr>
                <w:rFonts w:hint="eastAsia"/>
                <w:color w:val="000000"/>
                <w:sz w:val="24"/>
                <w:szCs w:val="24"/>
              </w:rPr>
              <w:t>（3）部分管线标高不合理，导致两侧街坊支管难以顺畅接入。</w:t>
            </w:r>
          </w:p>
          <w:p>
            <w:pPr>
              <w:snapToGrid w:val="0"/>
              <w:spacing w:line="520" w:lineRule="exact"/>
              <w:ind w:firstLine="480" w:firstLineChars="200"/>
              <w:contextualSpacing/>
              <w:rPr>
                <w:color w:val="000000"/>
                <w:sz w:val="24"/>
                <w:szCs w:val="24"/>
              </w:rPr>
            </w:pPr>
            <w:r>
              <w:rPr>
                <w:rFonts w:hint="eastAsia"/>
                <w:color w:val="000000"/>
                <w:sz w:val="24"/>
                <w:szCs w:val="24"/>
              </w:rPr>
              <w:t>（4）部分现状管线管径不合理。相当一部分管径偏小，过水能力不足，导致汛期常出现溢水、积水现象。</w:t>
            </w:r>
          </w:p>
          <w:p>
            <w:pPr>
              <w:snapToGrid w:val="0"/>
              <w:spacing w:line="520" w:lineRule="exact"/>
              <w:ind w:firstLine="480" w:firstLineChars="200"/>
              <w:contextualSpacing/>
              <w:rPr>
                <w:color w:val="000000"/>
                <w:sz w:val="24"/>
                <w:szCs w:val="24"/>
              </w:rPr>
            </w:pPr>
            <w:r>
              <w:rPr>
                <w:rFonts w:hint="eastAsia"/>
                <w:color w:val="000000"/>
                <w:sz w:val="24"/>
                <w:szCs w:val="24"/>
              </w:rPr>
              <w:t>（5</w:t>
            </w:r>
            <w:r>
              <w:rPr>
                <w:color w:val="000000"/>
                <w:sz w:val="24"/>
                <w:szCs w:val="24"/>
              </w:rPr>
              <w:t>）对周边环境造成污染。新建片区尚无污水收集干管，小区污水的就近散排对周边水体及环境造成一定污染。</w:t>
            </w:r>
          </w:p>
          <w:p>
            <w:pPr>
              <w:pStyle w:val="21"/>
              <w:autoSpaceDE/>
              <w:autoSpaceDN/>
              <w:adjustRightInd/>
              <w:snapToGrid w:val="0"/>
              <w:spacing w:line="520" w:lineRule="exact"/>
              <w:ind w:firstLine="482" w:firstLineChars="200"/>
              <w:contextualSpacing/>
              <w:jc w:val="both"/>
              <w:rPr>
                <w:rFonts w:ascii="Times New Roman"/>
                <w:b/>
              </w:rPr>
            </w:pPr>
            <w:r>
              <w:rPr>
                <w:rFonts w:hint="eastAsia" w:ascii="Times New Roman"/>
                <w:b/>
              </w:rPr>
              <w:t>2、与项目有关的原有污染问题</w:t>
            </w:r>
          </w:p>
          <w:p>
            <w:pPr>
              <w:snapToGrid w:val="0"/>
              <w:spacing w:line="520" w:lineRule="exact"/>
              <w:ind w:firstLine="480" w:firstLineChars="200"/>
              <w:contextualSpacing/>
              <w:rPr>
                <w:rFonts w:ascii="宋体" w:hAnsi="宋体"/>
                <w:b/>
                <w:color w:val="FF0000"/>
                <w:sz w:val="32"/>
              </w:rPr>
            </w:pPr>
            <w:r>
              <w:rPr>
                <w:rFonts w:hint="eastAsia"/>
                <w:color w:val="000000"/>
                <w:sz w:val="24"/>
                <w:szCs w:val="24"/>
              </w:rPr>
              <w:t>由于区域目前污水管网等基础设施建设不完善，集镇居民生活污水和工业废水不能顺利进入君山污水处理一厂处理后排放。因此，区域污水基本未经处理直接排入周边的沟渠合流，导致区域范围内地表水水质恶化、水生生物生存环境恶化。待项目建成投入运营后，区域地表水环境将有所改善。</w:t>
            </w:r>
          </w:p>
        </w:tc>
      </w:tr>
    </w:tbl>
    <w:p>
      <w:pPr>
        <w:snapToGrid w:val="0"/>
        <w:spacing w:before="120"/>
        <w:outlineLvl w:val="0"/>
        <w:rPr>
          <w:rFonts w:eastAsia="黑体"/>
          <w:color w:val="FF0000"/>
          <w:sz w:val="32"/>
        </w:rPr>
        <w:sectPr>
          <w:headerReference r:id="rId5" w:type="default"/>
          <w:footerReference r:id="rId6" w:type="default"/>
          <w:pgSz w:w="11906" w:h="16838"/>
          <w:pgMar w:top="1418" w:right="1134" w:bottom="1418" w:left="1474" w:header="851" w:footer="992" w:gutter="0"/>
          <w:pgNumType w:start="1"/>
          <w:cols w:space="720" w:num="1"/>
          <w:docGrid w:linePitch="312" w:charSpace="55034"/>
        </w:sectPr>
      </w:pPr>
    </w:p>
    <w:p>
      <w:pPr>
        <w:snapToGrid w:val="0"/>
        <w:contextualSpacing/>
        <w:outlineLvl w:val="0"/>
        <w:rPr>
          <w:rFonts w:eastAsia="黑体"/>
          <w:b/>
          <w:color w:val="000000"/>
          <w:kern w:val="24"/>
          <w:sz w:val="32"/>
        </w:rPr>
      </w:pPr>
      <w:bookmarkStart w:id="1" w:name="_Toc460481175"/>
      <w:r>
        <w:rPr>
          <w:rFonts w:hint="eastAsia" w:eastAsia="黑体"/>
          <w:b/>
          <w:color w:val="000000"/>
          <w:sz w:val="32"/>
        </w:rPr>
        <w:t>二、</w:t>
      </w:r>
      <w:r>
        <w:rPr>
          <w:rFonts w:eastAsia="黑体"/>
          <w:b/>
          <w:color w:val="000000"/>
          <w:sz w:val="32"/>
        </w:rPr>
        <w:t>建设项目所在地自然环境社会环境简况</w:t>
      </w:r>
      <w:bookmarkEnd w:id="1"/>
    </w:p>
    <w:tbl>
      <w:tblPr>
        <w:tblStyle w:val="19"/>
        <w:tblW w:w="9342"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85" w:type="dxa"/>
          <w:bottom w:w="0" w:type="dxa"/>
          <w:right w:w="85" w:type="dxa"/>
        </w:tblCellMar>
      </w:tblPr>
      <w:tblGrid>
        <w:gridCol w:w="934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85" w:type="dxa"/>
            <w:bottom w:w="0" w:type="dxa"/>
            <w:right w:w="85" w:type="dxa"/>
          </w:tblCellMar>
        </w:tblPrEx>
        <w:trPr>
          <w:trHeight w:val="454" w:hRule="atLeast"/>
          <w:jc w:val="center"/>
        </w:trPr>
        <w:tc>
          <w:tcPr>
            <w:tcW w:w="9342" w:type="dxa"/>
          </w:tcPr>
          <w:p>
            <w:pPr>
              <w:snapToGrid w:val="0"/>
              <w:spacing w:line="520" w:lineRule="exact"/>
              <w:contextualSpacing/>
              <w:rPr>
                <w:b/>
                <w:color w:val="000000"/>
                <w:kern w:val="24"/>
                <w:sz w:val="28"/>
                <w:szCs w:val="28"/>
              </w:rPr>
            </w:pPr>
            <w:r>
              <w:rPr>
                <w:b/>
                <w:color w:val="000000"/>
                <w:spacing w:val="-10"/>
                <w:sz w:val="28"/>
                <w:szCs w:val="28"/>
              </w:rPr>
              <w:t>自然环境简况（地形、地貌、地质、气候、气象、水文、植被、生物多样性等）</w:t>
            </w:r>
            <w:r>
              <w:rPr>
                <w:b/>
                <w:color w:val="000000"/>
                <w:sz w:val="28"/>
                <w:szCs w:val="28"/>
              </w:rPr>
              <w:t>：</w:t>
            </w:r>
          </w:p>
          <w:p>
            <w:pPr>
              <w:pStyle w:val="5"/>
              <w:adjustRightInd/>
              <w:spacing w:beforeLines="0" w:line="520" w:lineRule="exact"/>
              <w:ind w:firstLine="462"/>
              <w:contextualSpacing/>
              <w:rPr>
                <w:b/>
                <w:color w:val="000000"/>
              </w:rPr>
            </w:pPr>
            <w:r>
              <w:rPr>
                <w:b/>
                <w:color w:val="000000"/>
              </w:rPr>
              <w:t>1、地理位置</w:t>
            </w:r>
          </w:p>
          <w:p>
            <w:pPr>
              <w:pStyle w:val="5"/>
              <w:adjustRightInd/>
              <w:spacing w:beforeLines="0" w:line="520" w:lineRule="exact"/>
              <w:ind w:firstLine="460"/>
              <w:contextualSpacing/>
              <w:rPr>
                <w:color w:val="000000"/>
              </w:rPr>
            </w:pPr>
            <w:r>
              <w:rPr>
                <w:color w:val="000000"/>
              </w:rPr>
              <w:t>君山区北靠长江，南濒洞庭，306省道、岳常高速公路贯穿东西，202省道纵越南北，且有洞庭湖和长江码头20余座。沿长江可通江达海，涉洞庭湖可入三湘腹地，经306省道东连赣、皖，西达湘西和鄂、川，洞庭湖大桥连接岳阳市中心城区和京广铁路、京珠高速、107国道，世纪大道、旅游路、景明路等形成城区交通骨架，各镇、村道路纵横贯通，“湘楚腹地，五省通衢”，交通十分便捷。</w:t>
            </w:r>
          </w:p>
          <w:p>
            <w:pPr>
              <w:pStyle w:val="5"/>
              <w:adjustRightInd/>
              <w:spacing w:beforeLines="0" w:line="520" w:lineRule="exact"/>
              <w:ind w:firstLine="460"/>
              <w:contextualSpacing/>
              <w:rPr>
                <w:color w:val="000000"/>
              </w:rPr>
            </w:pPr>
            <w:r>
              <w:rPr>
                <w:color w:val="000000"/>
              </w:rPr>
              <w:t>项目位于君山区柳林洲镇，项目地理位置见附图1。</w:t>
            </w:r>
          </w:p>
          <w:p>
            <w:pPr>
              <w:pStyle w:val="5"/>
              <w:adjustRightInd/>
              <w:spacing w:beforeLines="0" w:line="520" w:lineRule="exact"/>
              <w:ind w:firstLine="462"/>
              <w:contextualSpacing/>
              <w:rPr>
                <w:b/>
                <w:color w:val="000000"/>
              </w:rPr>
            </w:pPr>
            <w:r>
              <w:rPr>
                <w:rFonts w:hint="eastAsia"/>
                <w:b/>
                <w:color w:val="000000"/>
              </w:rPr>
              <w:t>2、地形、地貌</w:t>
            </w:r>
          </w:p>
          <w:p>
            <w:pPr>
              <w:pStyle w:val="5"/>
              <w:adjustRightInd/>
              <w:spacing w:beforeLines="0" w:line="520" w:lineRule="exact"/>
              <w:ind w:firstLine="460"/>
              <w:contextualSpacing/>
              <w:rPr>
                <w:color w:val="000000"/>
              </w:rPr>
            </w:pPr>
            <w:r>
              <w:rPr>
                <w:color w:val="000000"/>
              </w:rPr>
              <w:t>君山区位于洞庭湖水系马蹄形盆地的向北开口处，由里往外依次为丘岗、</w:t>
            </w:r>
            <w:r>
              <w:fldChar w:fldCharType="begin"/>
            </w:r>
            <w:r>
              <w:instrText xml:space="preserve"> HYPERLINK "http://baike.baidu.com/view/281902.htm" \t "http://baike.baidu.com/_blank" </w:instrText>
            </w:r>
            <w:r>
              <w:fldChar w:fldCharType="separate"/>
            </w:r>
            <w:r>
              <w:rPr>
                <w:color w:val="000000"/>
              </w:rPr>
              <w:t>低山</w:t>
            </w:r>
            <w:r>
              <w:rPr>
                <w:color w:val="000000"/>
              </w:rPr>
              <w:fldChar w:fldCharType="end"/>
            </w:r>
            <w:r>
              <w:rPr>
                <w:color w:val="000000"/>
              </w:rPr>
              <w:t>和中山、中高山地貌。地势自北而南，从西往东稍有降低，微向南洞庭湖、东洞庭湖倾斜。区境内湿地为周围稍高、中部低平的碟形盆地，平面轮廊为东西长，南北短的多边形。君山区位于</w:t>
            </w:r>
            <w:r>
              <w:fldChar w:fldCharType="begin"/>
            </w:r>
            <w:r>
              <w:instrText xml:space="preserve"> HYPERLINK "http://baike.baidu.com/view/2567348.htm" \t "http://baike.baidu.com/_blank" </w:instrText>
            </w:r>
            <w:r>
              <w:fldChar w:fldCharType="separate"/>
            </w:r>
            <w:r>
              <w:rPr>
                <w:color w:val="000000"/>
              </w:rPr>
              <w:t>扬子准地台</w:t>
            </w:r>
            <w:r>
              <w:rPr>
                <w:color w:val="000000"/>
              </w:rPr>
              <w:fldChar w:fldCharType="end"/>
            </w:r>
            <w:r>
              <w:rPr>
                <w:color w:val="000000"/>
              </w:rPr>
              <w:t>江南地轴上，地层发育齐全，出露地层有元古界冷家溪群，板溪群；古生界震旦系、寒武系、奥陶系、表留系、泥盆系、石炭系、二选系；中生界三选系、侏罗系、白恶系；新生界第三系和第四系。</w:t>
            </w:r>
          </w:p>
          <w:p>
            <w:pPr>
              <w:pStyle w:val="5"/>
              <w:adjustRightInd/>
              <w:spacing w:beforeLines="0" w:line="520" w:lineRule="exact"/>
              <w:ind w:firstLine="460"/>
              <w:contextualSpacing/>
              <w:rPr>
                <w:color w:val="000000"/>
              </w:rPr>
            </w:pPr>
            <w:r>
              <w:rPr>
                <w:color w:val="000000"/>
              </w:rPr>
              <w:t>本项目区地势较平坦，工程地质条件简单。项目区没有发现不良工程地质现象。</w:t>
            </w:r>
          </w:p>
          <w:p>
            <w:pPr>
              <w:pStyle w:val="5"/>
              <w:adjustRightInd/>
              <w:spacing w:beforeLines="0" w:line="520" w:lineRule="exact"/>
              <w:ind w:firstLine="462"/>
              <w:contextualSpacing/>
              <w:rPr>
                <w:b/>
                <w:color w:val="000000"/>
              </w:rPr>
            </w:pPr>
            <w:r>
              <w:rPr>
                <w:rFonts w:hint="eastAsia"/>
                <w:b/>
                <w:color w:val="000000"/>
              </w:rPr>
              <w:t>3、气候、气象特征</w:t>
            </w:r>
          </w:p>
          <w:p>
            <w:pPr>
              <w:pStyle w:val="5"/>
              <w:adjustRightInd/>
              <w:spacing w:beforeLines="0" w:line="520" w:lineRule="exact"/>
              <w:ind w:firstLine="460"/>
              <w:contextualSpacing/>
              <w:rPr>
                <w:color w:val="000000"/>
              </w:rPr>
            </w:pPr>
            <w:r>
              <w:rPr>
                <w:color w:val="000000"/>
              </w:rPr>
              <w:t>君山区属典型亚热带</w:t>
            </w:r>
            <w:r>
              <w:fldChar w:fldCharType="begin"/>
            </w:r>
            <w:r>
              <w:instrText xml:space="preserve"> HYPERLINK "http://baike.baidu.com/view/151454.htm" \t "http://baike.baidu.com/_blank" </w:instrText>
            </w:r>
            <w:r>
              <w:fldChar w:fldCharType="separate"/>
            </w:r>
            <w:r>
              <w:rPr>
                <w:color w:val="000000"/>
              </w:rPr>
              <w:t>季风气候</w:t>
            </w:r>
            <w:r>
              <w:rPr>
                <w:color w:val="000000"/>
              </w:rPr>
              <w:fldChar w:fldCharType="end"/>
            </w:r>
            <w:r>
              <w:rPr>
                <w:color w:val="000000"/>
              </w:rPr>
              <w:t>区，春湿秋凉夏热冬寒，四季分明。年日照时数1726.7小时，平时气温16.8摄氏度，年均降雨量1417毫米。</w:t>
            </w:r>
          </w:p>
          <w:p>
            <w:pPr>
              <w:pStyle w:val="5"/>
              <w:adjustRightInd/>
              <w:spacing w:beforeLines="0" w:line="520" w:lineRule="exact"/>
              <w:ind w:firstLine="462"/>
              <w:contextualSpacing/>
              <w:rPr>
                <w:b/>
                <w:color w:val="000000"/>
              </w:rPr>
            </w:pPr>
            <w:r>
              <w:rPr>
                <w:rFonts w:hint="eastAsia"/>
                <w:b/>
                <w:color w:val="000000"/>
              </w:rPr>
              <w:t>4、水文概况</w:t>
            </w:r>
          </w:p>
          <w:p>
            <w:pPr>
              <w:pStyle w:val="5"/>
              <w:adjustRightInd/>
              <w:spacing w:beforeLines="0" w:line="520" w:lineRule="exact"/>
              <w:ind w:firstLine="460"/>
              <w:contextualSpacing/>
              <w:rPr>
                <w:color w:val="000000"/>
              </w:rPr>
            </w:pPr>
            <w:r>
              <w:rPr>
                <w:color w:val="000000"/>
              </w:rPr>
              <w:t>君山区河流湖泊属</w:t>
            </w:r>
            <w:r>
              <w:fldChar w:fldCharType="begin"/>
            </w:r>
            <w:r>
              <w:instrText xml:space="preserve"> HYPERLINK "http://baike.baidu.com/view/124025.htm" </w:instrText>
            </w:r>
            <w:r>
              <w:fldChar w:fldCharType="separate"/>
            </w:r>
            <w:r>
              <w:rPr>
                <w:color w:val="000000"/>
              </w:rPr>
              <w:t>长江水系</w:t>
            </w:r>
            <w:r>
              <w:rPr>
                <w:color w:val="000000"/>
              </w:rPr>
              <w:fldChar w:fldCharType="end"/>
            </w:r>
            <w:r>
              <w:rPr>
                <w:color w:val="000000"/>
              </w:rPr>
              <w:t>。湘江、资水、沅水、澧水汇入</w:t>
            </w:r>
            <w:r>
              <w:fldChar w:fldCharType="begin"/>
            </w:r>
            <w:r>
              <w:instrText xml:space="preserve"> HYPERLINK "http://baike.baidu.com/view/5852.htm" </w:instrText>
            </w:r>
            <w:r>
              <w:fldChar w:fldCharType="separate"/>
            </w:r>
            <w:r>
              <w:rPr>
                <w:color w:val="000000"/>
              </w:rPr>
              <w:t>洞庭湖</w:t>
            </w:r>
            <w:r>
              <w:rPr>
                <w:color w:val="000000"/>
              </w:rPr>
              <w:fldChar w:fldCharType="end"/>
            </w:r>
            <w:r>
              <w:rPr>
                <w:color w:val="000000"/>
              </w:rPr>
              <w:t>。东洞庭湖是一个大湖泊型宽阔河道，它承纳长江中上游和湖南的湘、资、沅、醴4条江河水量。湖泊的周围是广阔的沼泽和平原。东洞庭湖是洞庭湖湖系中最大的湖泊，年平均过湖水量达3126亿m</w:t>
            </w:r>
            <w:r>
              <w:rPr>
                <w:color w:val="000000"/>
                <w:vertAlign w:val="superscript"/>
              </w:rPr>
              <w:t>3</w:t>
            </w:r>
            <w:r>
              <w:rPr>
                <w:color w:val="000000"/>
              </w:rPr>
              <w:t>。常年湖容量178亿m</w:t>
            </w:r>
            <w:r>
              <w:rPr>
                <w:color w:val="000000"/>
                <w:vertAlign w:val="superscript"/>
              </w:rPr>
              <w:t>3</w:t>
            </w:r>
            <w:r>
              <w:rPr>
                <w:color w:val="000000"/>
              </w:rPr>
              <w:t>，水深4~22m，最大水位落差为17.76m。</w:t>
            </w:r>
          </w:p>
          <w:p>
            <w:pPr>
              <w:pStyle w:val="5"/>
              <w:adjustRightInd/>
              <w:spacing w:beforeLines="0" w:line="520" w:lineRule="exact"/>
              <w:ind w:firstLine="460"/>
              <w:contextualSpacing/>
              <w:rPr>
                <w:color w:val="000000"/>
              </w:rPr>
            </w:pPr>
            <w:r>
              <w:rPr>
                <w:color w:val="000000"/>
              </w:rPr>
              <w:t>濠河位于君山区域内西南侧，洞庭湖大桥西桥头旁，从工业园西南侧旁边流过。濠河系荆江入洞庭湖之出口，属洞庭湖叉河，长5000m，宽300~400m，水深2~19m，河面呈东西方向不规则羊叉形。</w:t>
            </w:r>
          </w:p>
          <w:p>
            <w:pPr>
              <w:pStyle w:val="5"/>
              <w:adjustRightInd/>
              <w:spacing w:beforeLines="0" w:line="520" w:lineRule="exact"/>
              <w:ind w:firstLine="462"/>
              <w:contextualSpacing/>
              <w:rPr>
                <w:b/>
                <w:color w:val="000000"/>
              </w:rPr>
            </w:pPr>
            <w:r>
              <w:rPr>
                <w:b/>
                <w:color w:val="000000"/>
              </w:rPr>
              <w:t>5、植被和生物</w:t>
            </w:r>
          </w:p>
          <w:p>
            <w:pPr>
              <w:pStyle w:val="5"/>
              <w:adjustRightInd/>
              <w:spacing w:beforeLines="0" w:line="520" w:lineRule="exact"/>
              <w:ind w:firstLine="460"/>
              <w:contextualSpacing/>
              <w:rPr>
                <w:color w:val="000000"/>
              </w:rPr>
            </w:pPr>
            <w:r>
              <w:rPr>
                <w:color w:val="000000"/>
              </w:rPr>
              <w:t>君山区有湿地维管束</w:t>
            </w:r>
            <w:r>
              <w:fldChar w:fldCharType="begin"/>
            </w:r>
            <w:r>
              <w:instrText xml:space="preserve"> HYPERLINK "http://baike.baidu.com/subview/3468/14766662.htm" \t "http://baike.baidu.com/_blank" </w:instrText>
            </w:r>
            <w:r>
              <w:fldChar w:fldCharType="separate"/>
            </w:r>
            <w:r>
              <w:rPr>
                <w:color w:val="000000"/>
              </w:rPr>
              <w:t>植物</w:t>
            </w:r>
            <w:r>
              <w:rPr>
                <w:color w:val="000000"/>
              </w:rPr>
              <w:fldChar w:fldCharType="end"/>
            </w:r>
            <w:r>
              <w:rPr>
                <w:color w:val="000000"/>
              </w:rPr>
              <w:t>412种，隶属于88科262属，其中蕨类植物10科、14种；裸子植物1科2种；被子植物77科、248属、396种。有国家一级保护植物2种：</w:t>
            </w:r>
            <w:r>
              <w:fldChar w:fldCharType="begin"/>
            </w:r>
            <w:r>
              <w:instrText xml:space="preserve"> HYPERLINK "http://baike.baidu.com/view/18658.htm" \t "http://baike.baidu.com/_blank" </w:instrText>
            </w:r>
            <w:r>
              <w:fldChar w:fldCharType="separate"/>
            </w:r>
            <w:r>
              <w:rPr>
                <w:color w:val="000000"/>
              </w:rPr>
              <w:t>水杉</w:t>
            </w:r>
            <w:r>
              <w:rPr>
                <w:color w:val="000000"/>
              </w:rPr>
              <w:fldChar w:fldCharType="end"/>
            </w:r>
            <w:r>
              <w:rPr>
                <w:color w:val="000000"/>
              </w:rPr>
              <w:t>和</w:t>
            </w:r>
            <w:r>
              <w:fldChar w:fldCharType="begin"/>
            </w:r>
            <w:r>
              <w:instrText xml:space="preserve"> HYPERLINK "http://baike.baidu.com/view/30792.htm" \t "http://baike.baidu.com/_blank" </w:instrText>
            </w:r>
            <w:r>
              <w:fldChar w:fldCharType="separate"/>
            </w:r>
            <w:r>
              <w:rPr>
                <w:color w:val="000000"/>
              </w:rPr>
              <w:t>莼菜</w:t>
            </w:r>
            <w:r>
              <w:rPr>
                <w:color w:val="000000"/>
              </w:rPr>
              <w:fldChar w:fldCharType="end"/>
            </w:r>
            <w:r>
              <w:rPr>
                <w:color w:val="000000"/>
              </w:rPr>
              <w:t>；国家二级保护植物有4种：莲、野菱、乌苏里狐尾藻和野大豆。君山区有</w:t>
            </w:r>
            <w:r>
              <w:fldChar w:fldCharType="begin"/>
            </w:r>
            <w:r>
              <w:instrText xml:space="preserve"> HYPERLINK "http://baike.baidu.com/view/17224.htm" \t "http://baike.baidu.com/_blank" </w:instrText>
            </w:r>
            <w:r>
              <w:fldChar w:fldCharType="separate"/>
            </w:r>
            <w:r>
              <w:rPr>
                <w:color w:val="000000"/>
              </w:rPr>
              <w:t>脊椎动物</w:t>
            </w:r>
            <w:r>
              <w:rPr>
                <w:color w:val="000000"/>
              </w:rPr>
              <w:fldChar w:fldCharType="end"/>
            </w:r>
            <w:r>
              <w:rPr>
                <w:color w:val="000000"/>
              </w:rPr>
              <w:t>共计316种。其中，鱼类12目23科116种，两栖类1目3科7种，爬行类2目8科20种，哺乳动物共计有5目9科11种，鸟类16目43科164种，水禽有108种。有一级保护动物7种，即白鹤、白头鹤、东方白鹳、黑鹤、大鸨、中华秋沙鸭、麋鹿，二级保护动物26种，即江豚、水獭、白琵鹭、黑脸琵鹭、红胸黑雁、白额雁、小天鹅、大天鹅、鸳鸯、鸢、苍鹰、赤腹鹰、凤头鹰、雀鹰、松雀鹰、大鵟、普通鵟、白头鹞、红隼、小青脚鹬、花田鸡、白枕鹤、灰鹤、领角鸮、红角鸮、小鸦鹃。</w:t>
            </w:r>
          </w:p>
          <w:p>
            <w:pPr>
              <w:pStyle w:val="5"/>
              <w:adjustRightInd/>
              <w:spacing w:beforeLines="0" w:line="520" w:lineRule="exact"/>
              <w:ind w:firstLine="460"/>
              <w:contextualSpacing/>
              <w:rPr>
                <w:color w:val="000000"/>
              </w:rPr>
            </w:pPr>
            <w:r>
              <w:rPr>
                <w:color w:val="000000"/>
              </w:rPr>
              <w:t>据调查，本工程区未发现珍稀濒危等需要特殊保护的野生动物。</w:t>
            </w: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0"/>
              <w:rPr>
                <w:color w:val="FF0000"/>
                <w:szCs w:val="24"/>
              </w:rPr>
            </w:pPr>
          </w:p>
          <w:p>
            <w:pPr>
              <w:pStyle w:val="5"/>
              <w:adjustRightInd/>
              <w:snapToGrid/>
              <w:spacing w:beforeLines="0" w:line="520" w:lineRule="exact"/>
              <w:ind w:firstLine="462"/>
              <w:rPr>
                <w:b/>
                <w:color w:val="FF0000"/>
              </w:rPr>
            </w:pPr>
          </w:p>
          <w:p>
            <w:pPr>
              <w:pStyle w:val="5"/>
              <w:adjustRightInd/>
              <w:snapToGrid/>
              <w:spacing w:beforeLines="0" w:line="520" w:lineRule="exact"/>
              <w:ind w:firstLine="462"/>
              <w:rPr>
                <w:b/>
                <w:color w:val="FF0000"/>
              </w:rPr>
            </w:pPr>
          </w:p>
          <w:p>
            <w:pPr>
              <w:pStyle w:val="5"/>
              <w:adjustRightInd/>
              <w:snapToGrid/>
              <w:spacing w:beforeLines="0" w:line="520" w:lineRule="exact"/>
              <w:ind w:firstLine="462"/>
              <w:rPr>
                <w:b/>
                <w:color w:val="FF0000"/>
              </w:rPr>
            </w:pPr>
          </w:p>
          <w:p>
            <w:pPr>
              <w:pStyle w:val="5"/>
              <w:adjustRightInd/>
              <w:snapToGrid/>
              <w:spacing w:beforeLines="0" w:line="520" w:lineRule="exact"/>
              <w:ind w:firstLine="462"/>
              <w:rPr>
                <w:b/>
                <w:color w:val="FF0000"/>
              </w:rPr>
            </w:pPr>
          </w:p>
          <w:p>
            <w:pPr>
              <w:pStyle w:val="5"/>
              <w:adjustRightInd/>
              <w:snapToGrid/>
              <w:spacing w:beforeLines="0" w:line="520" w:lineRule="exact"/>
              <w:ind w:firstLine="0" w:firstLineChars="0"/>
              <w:rPr>
                <w:b/>
                <w:color w:val="FF0000"/>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85" w:type="dxa"/>
            <w:bottom w:w="0" w:type="dxa"/>
            <w:right w:w="85" w:type="dxa"/>
          </w:tblCellMar>
        </w:tblPrEx>
        <w:trPr>
          <w:trHeight w:val="454" w:hRule="atLeast"/>
          <w:jc w:val="center"/>
        </w:trPr>
        <w:tc>
          <w:tcPr>
            <w:tcW w:w="9342" w:type="dxa"/>
          </w:tcPr>
          <w:p>
            <w:pPr>
              <w:spacing w:line="520" w:lineRule="exact"/>
              <w:rPr>
                <w:b/>
                <w:color w:val="000000"/>
                <w:kern w:val="24"/>
                <w:sz w:val="28"/>
                <w:szCs w:val="28"/>
              </w:rPr>
            </w:pPr>
            <w:r>
              <w:rPr>
                <w:rFonts w:ascii="宋体" w:hAnsi="宋体"/>
                <w:b/>
                <w:color w:val="000000"/>
                <w:sz w:val="28"/>
                <w:szCs w:val="28"/>
              </w:rPr>
              <w:t>社会环境简况(社会经济结构、教育、文化、文物保护等)</w:t>
            </w:r>
            <w:r>
              <w:rPr>
                <w:b/>
                <w:color w:val="000000"/>
                <w:sz w:val="28"/>
                <w:szCs w:val="28"/>
              </w:rPr>
              <w:t>：</w:t>
            </w:r>
          </w:p>
          <w:p>
            <w:pPr>
              <w:pStyle w:val="5"/>
              <w:adjustRightInd/>
              <w:snapToGrid/>
              <w:spacing w:beforeLines="0" w:line="520" w:lineRule="exact"/>
              <w:ind w:firstLine="462"/>
              <w:rPr>
                <w:b/>
                <w:color w:val="000000"/>
              </w:rPr>
            </w:pPr>
            <w:r>
              <w:rPr>
                <w:b/>
                <w:color w:val="000000"/>
              </w:rPr>
              <w:t>1、行政区划、人口</w:t>
            </w:r>
          </w:p>
          <w:p>
            <w:pPr>
              <w:pStyle w:val="5"/>
              <w:adjustRightInd/>
              <w:spacing w:beforeLines="0" w:line="520" w:lineRule="exact"/>
              <w:ind w:firstLine="460"/>
              <w:contextualSpacing/>
              <w:rPr>
                <w:color w:val="000000"/>
              </w:rPr>
            </w:pPr>
            <w:r>
              <w:rPr>
                <w:color w:val="000000"/>
              </w:rPr>
              <w:t>君山区现隶属于湖南省岳阳市，全区总面积627.09平方公里，2014年总人口为248031人。下辖广兴洲镇、许市镇、钱粮湖镇、良心堡镇、柳林洲镇街道、芦苇总场、水产养殖场。</w:t>
            </w:r>
          </w:p>
          <w:p>
            <w:pPr>
              <w:pStyle w:val="5"/>
              <w:adjustRightInd/>
              <w:snapToGrid/>
              <w:spacing w:beforeLines="0" w:line="520" w:lineRule="exact"/>
              <w:ind w:firstLine="462"/>
              <w:rPr>
                <w:b/>
                <w:color w:val="000000"/>
              </w:rPr>
            </w:pPr>
            <w:r>
              <w:rPr>
                <w:rFonts w:hint="eastAsia"/>
                <w:b/>
                <w:color w:val="000000"/>
              </w:rPr>
              <w:t>2、社会事业</w:t>
            </w:r>
          </w:p>
          <w:p>
            <w:pPr>
              <w:pStyle w:val="5"/>
              <w:adjustRightInd/>
              <w:spacing w:beforeLines="0" w:line="520" w:lineRule="exact"/>
              <w:ind w:firstLine="460"/>
              <w:contextualSpacing/>
              <w:rPr>
                <w:color w:val="000000"/>
              </w:rPr>
            </w:pPr>
            <w:r>
              <w:rPr>
                <w:color w:val="000000"/>
              </w:rPr>
              <w:t>2016年末，全区有各类学校71个，其中幼儿园33个，增加2个，小学29所，减少2所，初中6所，高中2所，职业技工学校1所。全区在校学生人数25018人，全区当年毕业生4124人。高中教育毛入学率为95.93%，毕生升学率为99.93%，各类民办学校37。全年完成88个村的农家书屋出版物更新，完成送戏下乡50场。新建群众休闲娱乐广场2个，总面积达6000平方米。全区卫生机构18个。其中医院、卫生院11个；血防医院3个、疾控中心1个、社区卫生服务中心3个。诊所（卫生所、医务室）21个、村（居委会）卫生室126个，拥有床位总数712张，卫生技术人员534人。</w:t>
            </w:r>
          </w:p>
          <w:p>
            <w:pPr>
              <w:pStyle w:val="5"/>
              <w:adjustRightInd/>
              <w:spacing w:beforeLines="0" w:line="520" w:lineRule="exact"/>
              <w:ind w:firstLine="462"/>
              <w:contextualSpacing/>
              <w:rPr>
                <w:b/>
                <w:color w:val="000000"/>
              </w:rPr>
            </w:pPr>
            <w:r>
              <w:rPr>
                <w:b/>
                <w:color w:val="000000"/>
              </w:rPr>
              <w:t>3、文物</w:t>
            </w:r>
          </w:p>
          <w:p>
            <w:pPr>
              <w:pStyle w:val="5"/>
              <w:adjustRightInd/>
              <w:spacing w:beforeLines="0" w:line="520" w:lineRule="exact"/>
              <w:ind w:firstLine="460"/>
              <w:contextualSpacing/>
              <w:rPr>
                <w:color w:val="000000"/>
              </w:rPr>
            </w:pPr>
            <w:r>
              <w:rPr>
                <w:color w:val="000000"/>
              </w:rPr>
              <w:t>（1）君山公园</w:t>
            </w:r>
          </w:p>
          <w:p>
            <w:pPr>
              <w:pStyle w:val="5"/>
              <w:adjustRightInd/>
              <w:spacing w:beforeLines="0" w:line="520" w:lineRule="exact"/>
              <w:ind w:firstLine="460"/>
              <w:contextualSpacing/>
              <w:rPr>
                <w:color w:val="000000"/>
              </w:rPr>
            </w:pPr>
            <w:r>
              <w:rPr>
                <w:color w:val="000000"/>
              </w:rPr>
              <w:t xml:space="preserve">国家AAAAA级旅游景区；“未到江南先一笑，岳阳楼上对君山”。君山系洞庭湖中小岛，位于岳阳市区西南方，水程12公里。山上有大小峰72个。 </w:t>
            </w:r>
          </w:p>
          <w:p>
            <w:pPr>
              <w:pStyle w:val="5"/>
              <w:adjustRightInd/>
              <w:spacing w:beforeLines="0" w:line="520" w:lineRule="exact"/>
              <w:ind w:firstLine="460"/>
              <w:contextualSpacing/>
              <w:rPr>
                <w:color w:val="000000"/>
              </w:rPr>
            </w:pPr>
            <w:r>
              <w:rPr>
                <w:color w:val="000000"/>
              </w:rPr>
              <w:t xml:space="preserve">（2）洞庭湖 </w:t>
            </w:r>
          </w:p>
          <w:p>
            <w:pPr>
              <w:pStyle w:val="5"/>
              <w:adjustRightInd/>
              <w:spacing w:beforeLines="0" w:line="520" w:lineRule="exact"/>
              <w:ind w:firstLine="460"/>
              <w:contextualSpacing/>
              <w:rPr>
                <w:color w:val="000000"/>
              </w:rPr>
            </w:pPr>
            <w:r>
              <w:rPr>
                <w:color w:val="000000"/>
              </w:rPr>
              <w:t>岳阳楼下的洞庭湖是远古时代云梦泽的遗迹，它的湖面十分宽广，自古就有“八百里洞庭”之说，虽然现在它的面积比以前已经小了一倍，但它仍是全国的第二大湖泊，烟波浩淼、水天一色，范仲淹称它“衔远山、吞长江，浩浩荡荡，横无际涯。”</w:t>
            </w:r>
          </w:p>
          <w:p>
            <w:pPr>
              <w:pStyle w:val="5"/>
              <w:adjustRightInd/>
              <w:spacing w:beforeLines="0" w:line="520" w:lineRule="exact"/>
              <w:ind w:firstLine="462"/>
              <w:contextualSpacing/>
              <w:rPr>
                <w:b/>
                <w:color w:val="000000"/>
              </w:rPr>
            </w:pPr>
            <w:r>
              <w:rPr>
                <w:b/>
                <w:color w:val="000000"/>
              </w:rPr>
              <w:t>4、社会经济情况</w:t>
            </w:r>
          </w:p>
          <w:p>
            <w:pPr>
              <w:pStyle w:val="5"/>
              <w:adjustRightInd/>
              <w:spacing w:beforeLines="0" w:line="520" w:lineRule="exact"/>
              <w:ind w:firstLine="460"/>
              <w:contextualSpacing/>
              <w:rPr>
                <w:color w:val="000000"/>
              </w:rPr>
            </w:pPr>
            <w:r>
              <w:rPr>
                <w:color w:val="000000"/>
              </w:rPr>
              <w:t>君山区土地肥沃，盛产粮、菜、油、瓜、果和甘蔗等无公害绿色食品，还有棉、麻、茶和花卉药材等经济作物，水产品有鱼、虾、鳖、蟹、鳝鱼、泥鳅和淡水珍珠等。君山特产“君山银针”和“君山毛尖”等名茶古代为皇室贡品，现畅销海内外。君山区工业以本地原料加工为主，食品、纺织、服装、饲料、油脂加工、造纸、建材等七大加工业生产体系已形成相当规模。境内交通、通讯、供电、给排水等基础设施完善，各项社会服务功能齐全。</w:t>
            </w:r>
          </w:p>
          <w:p>
            <w:pPr>
              <w:pStyle w:val="5"/>
              <w:adjustRightInd/>
              <w:spacing w:beforeLines="0" w:line="520" w:lineRule="exact"/>
              <w:ind w:firstLine="460"/>
              <w:contextualSpacing/>
              <w:rPr>
                <w:color w:val="000000"/>
              </w:rPr>
            </w:pPr>
            <w:r>
              <w:rPr>
                <w:color w:val="000000"/>
              </w:rPr>
              <w:t>在项目拟建地区域，无需要保护的古文化、文物遗址。</w:t>
            </w:r>
          </w:p>
          <w:p>
            <w:pPr>
              <w:pStyle w:val="5"/>
              <w:adjustRightInd/>
              <w:spacing w:beforeLines="0" w:line="520" w:lineRule="exact"/>
              <w:ind w:firstLine="462"/>
              <w:contextualSpacing/>
              <w:rPr>
                <w:b/>
                <w:color w:val="000000"/>
              </w:rPr>
            </w:pPr>
            <w:r>
              <w:rPr>
                <w:rFonts w:hint="eastAsia"/>
                <w:b/>
                <w:color w:val="000000"/>
              </w:rPr>
              <w:t>5、区域环境功能区划</w:t>
            </w:r>
          </w:p>
          <w:p>
            <w:pPr>
              <w:pStyle w:val="5"/>
              <w:adjustRightInd/>
              <w:spacing w:beforeLines="0" w:line="520" w:lineRule="exact"/>
              <w:ind w:firstLine="460"/>
              <w:contextualSpacing/>
              <w:rPr>
                <w:color w:val="000000"/>
              </w:rPr>
            </w:pPr>
            <w:r>
              <w:rPr>
                <w:rFonts w:hint="eastAsia"/>
                <w:color w:val="000000"/>
              </w:rPr>
              <w:t>本项目所在地环境功能属性见表2-1。</w:t>
            </w:r>
          </w:p>
          <w:p>
            <w:pPr>
              <w:snapToGrid w:val="0"/>
              <w:spacing w:line="520" w:lineRule="exact"/>
              <w:contextualSpacing/>
              <w:jc w:val="center"/>
              <w:rPr>
                <w:b/>
                <w:color w:val="000000"/>
                <w:sz w:val="24"/>
                <w:szCs w:val="24"/>
              </w:rPr>
            </w:pPr>
            <w:r>
              <w:rPr>
                <w:b/>
                <w:color w:val="000000"/>
                <w:sz w:val="24"/>
                <w:szCs w:val="24"/>
              </w:rPr>
              <w:t>表2-1    项目厂址环境功能属性</w:t>
            </w:r>
          </w:p>
          <w:tbl>
            <w:tblPr>
              <w:tblStyle w:val="19"/>
              <w:tblW w:w="8808"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99"/>
              <w:gridCol w:w="3266"/>
              <w:gridCol w:w="1644"/>
              <w:gridCol w:w="309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编号</w:t>
                  </w:r>
                </w:p>
              </w:tc>
              <w:tc>
                <w:tcPr>
                  <w:tcW w:w="3266" w:type="dxa"/>
                  <w:vAlign w:val="center"/>
                </w:tcPr>
                <w:p>
                  <w:pPr>
                    <w:snapToGrid w:val="0"/>
                    <w:spacing w:line="360" w:lineRule="exact"/>
                    <w:contextualSpacing/>
                    <w:jc w:val="center"/>
                    <w:rPr>
                      <w:szCs w:val="21"/>
                    </w:rPr>
                  </w:pPr>
                  <w:r>
                    <w:rPr>
                      <w:szCs w:val="21"/>
                    </w:rPr>
                    <w:t>项目</w:t>
                  </w:r>
                </w:p>
              </w:tc>
              <w:tc>
                <w:tcPr>
                  <w:tcW w:w="4743" w:type="dxa"/>
                  <w:gridSpan w:val="2"/>
                  <w:vAlign w:val="center"/>
                </w:tcPr>
                <w:p>
                  <w:pPr>
                    <w:snapToGrid w:val="0"/>
                    <w:spacing w:line="360" w:lineRule="exact"/>
                    <w:contextualSpacing/>
                    <w:jc w:val="center"/>
                    <w:rPr>
                      <w:szCs w:val="21"/>
                    </w:rPr>
                  </w:pPr>
                  <w:r>
                    <w:rPr>
                      <w:szCs w:val="21"/>
                    </w:rPr>
                    <w:t>功能属性及执行标准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Merge w:val="restart"/>
                  <w:vAlign w:val="center"/>
                </w:tcPr>
                <w:p>
                  <w:pPr>
                    <w:snapToGrid w:val="0"/>
                    <w:spacing w:line="360" w:lineRule="exact"/>
                    <w:contextualSpacing/>
                    <w:jc w:val="center"/>
                    <w:rPr>
                      <w:szCs w:val="21"/>
                    </w:rPr>
                  </w:pPr>
                  <w:r>
                    <w:rPr>
                      <w:szCs w:val="21"/>
                    </w:rPr>
                    <w:t>1</w:t>
                  </w:r>
                </w:p>
              </w:tc>
              <w:tc>
                <w:tcPr>
                  <w:tcW w:w="3266" w:type="dxa"/>
                  <w:vMerge w:val="restart"/>
                  <w:vAlign w:val="center"/>
                </w:tcPr>
                <w:p>
                  <w:pPr>
                    <w:snapToGrid w:val="0"/>
                    <w:spacing w:line="360" w:lineRule="exact"/>
                    <w:contextualSpacing/>
                    <w:jc w:val="center"/>
                    <w:rPr>
                      <w:szCs w:val="21"/>
                    </w:rPr>
                  </w:pPr>
                  <w:r>
                    <w:rPr>
                      <w:szCs w:val="21"/>
                    </w:rPr>
                    <w:t>水环境功能区</w:t>
                  </w:r>
                </w:p>
              </w:tc>
              <w:tc>
                <w:tcPr>
                  <w:tcW w:w="1644" w:type="dxa"/>
                  <w:vAlign w:val="center"/>
                </w:tcPr>
                <w:p>
                  <w:pPr>
                    <w:snapToGrid w:val="0"/>
                    <w:spacing w:line="360" w:lineRule="exact"/>
                    <w:contextualSpacing/>
                    <w:jc w:val="center"/>
                    <w:rPr>
                      <w:szCs w:val="21"/>
                    </w:rPr>
                  </w:pPr>
                  <w:r>
                    <w:rPr>
                      <w:rFonts w:hint="eastAsia"/>
                      <w:szCs w:val="21"/>
                    </w:rPr>
                    <w:t>长江</w:t>
                  </w:r>
                </w:p>
              </w:tc>
              <w:tc>
                <w:tcPr>
                  <w:tcW w:w="3099" w:type="dxa"/>
                  <w:vMerge w:val="restart"/>
                  <w:vAlign w:val="center"/>
                </w:tcPr>
                <w:p>
                  <w:pPr>
                    <w:snapToGrid w:val="0"/>
                    <w:spacing w:line="360" w:lineRule="exact"/>
                    <w:contextualSpacing/>
                    <w:jc w:val="center"/>
                    <w:rPr>
                      <w:szCs w:val="21"/>
                    </w:rPr>
                  </w:pPr>
                  <w:r>
                    <w:rPr>
                      <w:szCs w:val="21"/>
                    </w:rPr>
                    <w:t>《地表水环境质量标准》（GB3838-2002）III类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86" w:hRule="atLeast"/>
                <w:jc w:val="center"/>
              </w:trPr>
              <w:tc>
                <w:tcPr>
                  <w:tcW w:w="799" w:type="dxa"/>
                  <w:vMerge w:val="continue"/>
                  <w:vAlign w:val="center"/>
                </w:tcPr>
                <w:p>
                  <w:pPr>
                    <w:snapToGrid w:val="0"/>
                    <w:spacing w:line="360" w:lineRule="exact"/>
                    <w:contextualSpacing/>
                    <w:jc w:val="center"/>
                    <w:rPr>
                      <w:szCs w:val="21"/>
                    </w:rPr>
                  </w:pPr>
                </w:p>
              </w:tc>
              <w:tc>
                <w:tcPr>
                  <w:tcW w:w="3266" w:type="dxa"/>
                  <w:vMerge w:val="continue"/>
                  <w:vAlign w:val="center"/>
                </w:tcPr>
                <w:p>
                  <w:pPr>
                    <w:snapToGrid w:val="0"/>
                    <w:spacing w:line="360" w:lineRule="exact"/>
                    <w:contextualSpacing/>
                    <w:jc w:val="center"/>
                    <w:rPr>
                      <w:szCs w:val="21"/>
                    </w:rPr>
                  </w:pPr>
                </w:p>
              </w:tc>
              <w:tc>
                <w:tcPr>
                  <w:tcW w:w="1644" w:type="dxa"/>
                  <w:vAlign w:val="center"/>
                </w:tcPr>
                <w:p>
                  <w:pPr>
                    <w:snapToGrid w:val="0"/>
                    <w:spacing w:line="360" w:lineRule="exact"/>
                    <w:contextualSpacing/>
                    <w:jc w:val="center"/>
                    <w:rPr>
                      <w:szCs w:val="21"/>
                    </w:rPr>
                  </w:pPr>
                  <w:r>
                    <w:rPr>
                      <w:rFonts w:hint="eastAsia"/>
                      <w:szCs w:val="21"/>
                    </w:rPr>
                    <w:t>濠河</w:t>
                  </w:r>
                </w:p>
              </w:tc>
              <w:tc>
                <w:tcPr>
                  <w:tcW w:w="3099" w:type="dxa"/>
                  <w:vMerge w:val="continue"/>
                  <w:vAlign w:val="center"/>
                </w:tcPr>
                <w:p>
                  <w:pPr>
                    <w:snapToGrid w:val="0"/>
                    <w:spacing w:line="360" w:lineRule="exact"/>
                    <w:contextualSpacing/>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21" w:hRule="atLeast"/>
                <w:jc w:val="center"/>
              </w:trPr>
              <w:tc>
                <w:tcPr>
                  <w:tcW w:w="799" w:type="dxa"/>
                  <w:vMerge w:val="continue"/>
                  <w:vAlign w:val="center"/>
                </w:tcPr>
                <w:p>
                  <w:pPr>
                    <w:snapToGrid w:val="0"/>
                    <w:spacing w:line="360" w:lineRule="exact"/>
                    <w:contextualSpacing/>
                    <w:jc w:val="center"/>
                    <w:rPr>
                      <w:szCs w:val="21"/>
                    </w:rPr>
                  </w:pPr>
                </w:p>
              </w:tc>
              <w:tc>
                <w:tcPr>
                  <w:tcW w:w="3266" w:type="dxa"/>
                  <w:vMerge w:val="continue"/>
                  <w:vAlign w:val="center"/>
                </w:tcPr>
                <w:p>
                  <w:pPr>
                    <w:snapToGrid w:val="0"/>
                    <w:spacing w:line="360" w:lineRule="exact"/>
                    <w:contextualSpacing/>
                    <w:jc w:val="center"/>
                    <w:rPr>
                      <w:szCs w:val="21"/>
                    </w:rPr>
                  </w:pPr>
                </w:p>
              </w:tc>
              <w:tc>
                <w:tcPr>
                  <w:tcW w:w="1644" w:type="dxa"/>
                  <w:vAlign w:val="center"/>
                </w:tcPr>
                <w:p>
                  <w:pPr>
                    <w:snapToGrid w:val="0"/>
                    <w:spacing w:line="360" w:lineRule="exact"/>
                    <w:contextualSpacing/>
                    <w:jc w:val="center"/>
                    <w:rPr>
                      <w:szCs w:val="21"/>
                    </w:rPr>
                  </w:pPr>
                  <w:r>
                    <w:rPr>
                      <w:rFonts w:hint="eastAsia"/>
                      <w:szCs w:val="21"/>
                    </w:rPr>
                    <w:t>洞庭湖</w:t>
                  </w:r>
                </w:p>
              </w:tc>
              <w:tc>
                <w:tcPr>
                  <w:tcW w:w="3099" w:type="dxa"/>
                  <w:vMerge w:val="continue"/>
                  <w:vAlign w:val="center"/>
                </w:tcPr>
                <w:p>
                  <w:pPr>
                    <w:snapToGrid w:val="0"/>
                    <w:spacing w:line="360" w:lineRule="exact"/>
                    <w:contextualSpacing/>
                    <w:jc w:val="center"/>
                    <w:rPr>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21" w:hRule="atLeast"/>
                <w:jc w:val="center"/>
              </w:trPr>
              <w:tc>
                <w:tcPr>
                  <w:tcW w:w="799" w:type="dxa"/>
                  <w:vMerge w:val="continue"/>
                  <w:vAlign w:val="center"/>
                </w:tcPr>
                <w:p>
                  <w:pPr>
                    <w:snapToGrid w:val="0"/>
                    <w:spacing w:line="360" w:lineRule="exact"/>
                    <w:contextualSpacing/>
                    <w:jc w:val="center"/>
                    <w:rPr>
                      <w:szCs w:val="21"/>
                    </w:rPr>
                  </w:pPr>
                </w:p>
              </w:tc>
              <w:tc>
                <w:tcPr>
                  <w:tcW w:w="3266" w:type="dxa"/>
                  <w:vMerge w:val="continue"/>
                  <w:vAlign w:val="center"/>
                </w:tcPr>
                <w:p>
                  <w:pPr>
                    <w:snapToGrid w:val="0"/>
                    <w:spacing w:line="360" w:lineRule="exact"/>
                    <w:contextualSpacing/>
                    <w:jc w:val="center"/>
                    <w:rPr>
                      <w:szCs w:val="21"/>
                    </w:rPr>
                  </w:pPr>
                </w:p>
              </w:tc>
              <w:tc>
                <w:tcPr>
                  <w:tcW w:w="1644" w:type="dxa"/>
                  <w:vAlign w:val="center"/>
                </w:tcPr>
                <w:p>
                  <w:pPr>
                    <w:snapToGrid w:val="0"/>
                    <w:spacing w:line="360" w:lineRule="exact"/>
                    <w:contextualSpacing/>
                    <w:jc w:val="center"/>
                    <w:rPr>
                      <w:rFonts w:hint="eastAsia"/>
                      <w:szCs w:val="21"/>
                    </w:rPr>
                  </w:pPr>
                  <w:r>
                    <w:rPr>
                      <w:rFonts w:hint="eastAsia"/>
                      <w:szCs w:val="21"/>
                    </w:rPr>
                    <w:t>南干渠</w:t>
                  </w:r>
                </w:p>
              </w:tc>
              <w:tc>
                <w:tcPr>
                  <w:tcW w:w="3099" w:type="dxa"/>
                  <w:vAlign w:val="center"/>
                </w:tcPr>
                <w:p>
                  <w:pPr>
                    <w:snapToGrid w:val="0"/>
                    <w:spacing w:line="360" w:lineRule="exact"/>
                    <w:contextualSpacing/>
                    <w:jc w:val="center"/>
                    <w:rPr>
                      <w:rFonts w:hint="eastAsia"/>
                      <w:szCs w:val="21"/>
                    </w:rPr>
                  </w:pPr>
                  <w:r>
                    <w:rPr>
                      <w:szCs w:val="21"/>
                    </w:rPr>
                    <w:t>《农田灌溉水质标准》（GB5084-2005）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421" w:hRule="atLeast"/>
                <w:jc w:val="center"/>
              </w:trPr>
              <w:tc>
                <w:tcPr>
                  <w:tcW w:w="799" w:type="dxa"/>
                  <w:vMerge w:val="continue"/>
                  <w:vAlign w:val="center"/>
                </w:tcPr>
                <w:p>
                  <w:pPr>
                    <w:snapToGrid w:val="0"/>
                    <w:spacing w:line="360" w:lineRule="exact"/>
                    <w:contextualSpacing/>
                    <w:jc w:val="center"/>
                    <w:rPr>
                      <w:szCs w:val="21"/>
                    </w:rPr>
                  </w:pPr>
                </w:p>
              </w:tc>
              <w:tc>
                <w:tcPr>
                  <w:tcW w:w="3266" w:type="dxa"/>
                  <w:vMerge w:val="continue"/>
                  <w:vAlign w:val="center"/>
                </w:tcPr>
                <w:p>
                  <w:pPr>
                    <w:snapToGrid w:val="0"/>
                    <w:spacing w:line="360" w:lineRule="exact"/>
                    <w:contextualSpacing/>
                    <w:jc w:val="center"/>
                    <w:rPr>
                      <w:szCs w:val="21"/>
                    </w:rPr>
                  </w:pPr>
                </w:p>
              </w:tc>
              <w:tc>
                <w:tcPr>
                  <w:tcW w:w="1644" w:type="dxa"/>
                  <w:vAlign w:val="center"/>
                </w:tcPr>
                <w:p>
                  <w:pPr>
                    <w:snapToGrid w:val="0"/>
                    <w:spacing w:line="360" w:lineRule="exact"/>
                    <w:contextualSpacing/>
                    <w:jc w:val="center"/>
                    <w:rPr>
                      <w:szCs w:val="21"/>
                    </w:rPr>
                  </w:pPr>
                  <w:r>
                    <w:rPr>
                      <w:rFonts w:hint="eastAsia"/>
                      <w:szCs w:val="21"/>
                    </w:rPr>
                    <w:t>管网沿线鱼塘</w:t>
                  </w:r>
                </w:p>
              </w:tc>
              <w:tc>
                <w:tcPr>
                  <w:tcW w:w="3099" w:type="dxa"/>
                  <w:vAlign w:val="center"/>
                </w:tcPr>
                <w:p>
                  <w:pPr>
                    <w:snapToGrid w:val="0"/>
                    <w:spacing w:line="360" w:lineRule="exact"/>
                    <w:contextualSpacing/>
                    <w:jc w:val="center"/>
                    <w:rPr>
                      <w:szCs w:val="21"/>
                    </w:rPr>
                  </w:pPr>
                  <w:r>
                    <w:rPr>
                      <w:rFonts w:hint="eastAsia"/>
                      <w:szCs w:val="21"/>
                    </w:rPr>
                    <w:t>《渔业水质标准》（GB11607-89）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2</w:t>
                  </w:r>
                </w:p>
              </w:tc>
              <w:tc>
                <w:tcPr>
                  <w:tcW w:w="3266" w:type="dxa"/>
                  <w:vAlign w:val="center"/>
                </w:tcPr>
                <w:p>
                  <w:pPr>
                    <w:snapToGrid w:val="0"/>
                    <w:spacing w:line="360" w:lineRule="exact"/>
                    <w:contextualSpacing/>
                    <w:jc w:val="center"/>
                    <w:rPr>
                      <w:szCs w:val="21"/>
                    </w:rPr>
                  </w:pPr>
                  <w:r>
                    <w:rPr>
                      <w:szCs w:val="21"/>
                    </w:rPr>
                    <w:t>环境空气质量功能区</w:t>
                  </w:r>
                </w:p>
              </w:tc>
              <w:tc>
                <w:tcPr>
                  <w:tcW w:w="4743" w:type="dxa"/>
                  <w:gridSpan w:val="2"/>
                  <w:vAlign w:val="center"/>
                </w:tcPr>
                <w:p>
                  <w:pPr>
                    <w:snapToGrid w:val="0"/>
                    <w:spacing w:line="360" w:lineRule="exact"/>
                    <w:contextualSpacing/>
                    <w:jc w:val="center"/>
                    <w:rPr>
                      <w:szCs w:val="21"/>
                    </w:rPr>
                  </w:pPr>
                  <w:r>
                    <w:rPr>
                      <w:szCs w:val="21"/>
                    </w:rPr>
                    <w:t>二类区，环境空气质量执行《环境空气质量标准》（GB3095-2012）二级标准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3</w:t>
                  </w:r>
                </w:p>
              </w:tc>
              <w:tc>
                <w:tcPr>
                  <w:tcW w:w="3266" w:type="dxa"/>
                  <w:vAlign w:val="center"/>
                </w:tcPr>
                <w:p>
                  <w:pPr>
                    <w:snapToGrid w:val="0"/>
                    <w:spacing w:line="360" w:lineRule="exact"/>
                    <w:contextualSpacing/>
                    <w:jc w:val="center"/>
                    <w:rPr>
                      <w:szCs w:val="21"/>
                    </w:rPr>
                  </w:pPr>
                  <w:r>
                    <w:rPr>
                      <w:szCs w:val="21"/>
                    </w:rPr>
                    <w:t>声环境功能区</w:t>
                  </w:r>
                </w:p>
              </w:tc>
              <w:tc>
                <w:tcPr>
                  <w:tcW w:w="4743" w:type="dxa"/>
                  <w:gridSpan w:val="2"/>
                  <w:vAlign w:val="center"/>
                </w:tcPr>
                <w:p>
                  <w:pPr>
                    <w:snapToGrid w:val="0"/>
                    <w:spacing w:line="360" w:lineRule="exact"/>
                    <w:contextualSpacing/>
                    <w:jc w:val="center"/>
                    <w:rPr>
                      <w:szCs w:val="21"/>
                    </w:rPr>
                  </w:pPr>
                  <w:r>
                    <w:rPr>
                      <w:rFonts w:hint="eastAsia"/>
                      <w:szCs w:val="21"/>
                    </w:rPr>
                    <w:t>2、4a</w:t>
                  </w:r>
                  <w:r>
                    <w:rPr>
                      <w:szCs w:val="21"/>
                    </w:rPr>
                    <w:t>类声环境功能区，执行《声环境质量标准》（GB3096-2008）</w:t>
                  </w:r>
                  <w:r>
                    <w:rPr>
                      <w:rFonts w:hint="eastAsia"/>
                      <w:szCs w:val="21"/>
                    </w:rPr>
                    <w:t>2、4a</w:t>
                  </w:r>
                  <w:r>
                    <w:rPr>
                      <w:szCs w:val="21"/>
                    </w:rPr>
                    <w:t>类环境噪声限值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4</w:t>
                  </w:r>
                </w:p>
              </w:tc>
              <w:tc>
                <w:tcPr>
                  <w:tcW w:w="3266" w:type="dxa"/>
                  <w:vAlign w:val="center"/>
                </w:tcPr>
                <w:p>
                  <w:pPr>
                    <w:snapToGrid w:val="0"/>
                    <w:spacing w:line="360" w:lineRule="exact"/>
                    <w:contextualSpacing/>
                    <w:jc w:val="center"/>
                    <w:rPr>
                      <w:szCs w:val="21"/>
                    </w:rPr>
                  </w:pPr>
                  <w:r>
                    <w:rPr>
                      <w:szCs w:val="21"/>
                    </w:rPr>
                    <w:t>是否基本农田保护区</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5</w:t>
                  </w:r>
                </w:p>
              </w:tc>
              <w:tc>
                <w:tcPr>
                  <w:tcW w:w="3266" w:type="dxa"/>
                  <w:vAlign w:val="center"/>
                </w:tcPr>
                <w:p>
                  <w:pPr>
                    <w:snapToGrid w:val="0"/>
                    <w:spacing w:line="360" w:lineRule="exact"/>
                    <w:contextualSpacing/>
                    <w:jc w:val="center"/>
                    <w:rPr>
                      <w:szCs w:val="21"/>
                    </w:rPr>
                  </w:pPr>
                  <w:r>
                    <w:rPr>
                      <w:szCs w:val="21"/>
                    </w:rPr>
                    <w:t>是否森林公园</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6</w:t>
                  </w:r>
                </w:p>
              </w:tc>
              <w:tc>
                <w:tcPr>
                  <w:tcW w:w="3266" w:type="dxa"/>
                  <w:vAlign w:val="center"/>
                </w:tcPr>
                <w:p>
                  <w:pPr>
                    <w:snapToGrid w:val="0"/>
                    <w:spacing w:line="360" w:lineRule="exact"/>
                    <w:contextualSpacing/>
                    <w:jc w:val="center"/>
                    <w:rPr>
                      <w:szCs w:val="21"/>
                    </w:rPr>
                  </w:pPr>
                  <w:r>
                    <w:rPr>
                      <w:szCs w:val="21"/>
                    </w:rPr>
                    <w:t>是否生态功能保护区</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7</w:t>
                  </w:r>
                </w:p>
              </w:tc>
              <w:tc>
                <w:tcPr>
                  <w:tcW w:w="3266" w:type="dxa"/>
                  <w:vAlign w:val="center"/>
                </w:tcPr>
                <w:p>
                  <w:pPr>
                    <w:snapToGrid w:val="0"/>
                    <w:spacing w:line="360" w:lineRule="exact"/>
                    <w:contextualSpacing/>
                    <w:jc w:val="center"/>
                    <w:rPr>
                      <w:szCs w:val="21"/>
                    </w:rPr>
                  </w:pPr>
                  <w:r>
                    <w:rPr>
                      <w:szCs w:val="21"/>
                    </w:rPr>
                    <w:t>是否水土流失重点防治区</w:t>
                  </w:r>
                </w:p>
              </w:tc>
              <w:tc>
                <w:tcPr>
                  <w:tcW w:w="4743" w:type="dxa"/>
                  <w:gridSpan w:val="2"/>
                  <w:vAlign w:val="center"/>
                </w:tcPr>
                <w:p>
                  <w:pPr>
                    <w:snapToGrid w:val="0"/>
                    <w:spacing w:line="360" w:lineRule="exact"/>
                    <w:contextualSpacing/>
                    <w:jc w:val="center"/>
                    <w:rPr>
                      <w:szCs w:val="21"/>
                    </w:rPr>
                  </w:pPr>
                  <w:bookmarkStart w:id="2" w:name="OLE_LINK3"/>
                  <w:r>
                    <w:rPr>
                      <w:szCs w:val="21"/>
                    </w:rPr>
                    <w:t>否</w:t>
                  </w:r>
                  <w:bookmarkEnd w:id="2"/>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8</w:t>
                  </w:r>
                </w:p>
              </w:tc>
              <w:tc>
                <w:tcPr>
                  <w:tcW w:w="3266" w:type="dxa"/>
                  <w:vAlign w:val="center"/>
                </w:tcPr>
                <w:p>
                  <w:pPr>
                    <w:snapToGrid w:val="0"/>
                    <w:spacing w:line="360" w:lineRule="exact"/>
                    <w:contextualSpacing/>
                    <w:jc w:val="center"/>
                    <w:rPr>
                      <w:szCs w:val="21"/>
                    </w:rPr>
                  </w:pPr>
                  <w:r>
                    <w:rPr>
                      <w:szCs w:val="21"/>
                    </w:rPr>
                    <w:t>是否人口密集区</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9</w:t>
                  </w:r>
                </w:p>
              </w:tc>
              <w:tc>
                <w:tcPr>
                  <w:tcW w:w="3266" w:type="dxa"/>
                  <w:vAlign w:val="center"/>
                </w:tcPr>
                <w:p>
                  <w:pPr>
                    <w:snapToGrid w:val="0"/>
                    <w:spacing w:line="360" w:lineRule="exact"/>
                    <w:contextualSpacing/>
                    <w:jc w:val="center"/>
                    <w:rPr>
                      <w:szCs w:val="21"/>
                    </w:rPr>
                  </w:pPr>
                  <w:r>
                    <w:rPr>
                      <w:szCs w:val="21"/>
                    </w:rPr>
                    <w:t>是否重点文物保护单</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10</w:t>
                  </w:r>
                </w:p>
              </w:tc>
              <w:tc>
                <w:tcPr>
                  <w:tcW w:w="3266" w:type="dxa"/>
                  <w:vAlign w:val="center"/>
                </w:tcPr>
                <w:p>
                  <w:pPr>
                    <w:snapToGrid w:val="0"/>
                    <w:spacing w:line="360" w:lineRule="exact"/>
                    <w:contextualSpacing/>
                    <w:jc w:val="center"/>
                    <w:rPr>
                      <w:szCs w:val="21"/>
                    </w:rPr>
                  </w:pPr>
                  <w:r>
                    <w:rPr>
                      <w:szCs w:val="21"/>
                    </w:rPr>
                    <w:t>是否三河、三湖、两控区</w:t>
                  </w:r>
                </w:p>
              </w:tc>
              <w:tc>
                <w:tcPr>
                  <w:tcW w:w="4743" w:type="dxa"/>
                  <w:gridSpan w:val="2"/>
                  <w:vAlign w:val="center"/>
                </w:tcPr>
                <w:p>
                  <w:pPr>
                    <w:snapToGrid w:val="0"/>
                    <w:spacing w:line="360" w:lineRule="exact"/>
                    <w:contextualSpacing/>
                    <w:jc w:val="center"/>
                    <w:rPr>
                      <w:szCs w:val="21"/>
                    </w:rPr>
                  </w:pPr>
                  <w:r>
                    <w:rPr>
                      <w:szCs w:val="21"/>
                    </w:rPr>
                    <w:t>是（两控区）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11</w:t>
                  </w:r>
                </w:p>
              </w:tc>
              <w:tc>
                <w:tcPr>
                  <w:tcW w:w="3266" w:type="dxa"/>
                  <w:vAlign w:val="center"/>
                </w:tcPr>
                <w:p>
                  <w:pPr>
                    <w:snapToGrid w:val="0"/>
                    <w:spacing w:line="360" w:lineRule="exact"/>
                    <w:contextualSpacing/>
                    <w:jc w:val="center"/>
                    <w:rPr>
                      <w:szCs w:val="21"/>
                    </w:rPr>
                  </w:pPr>
                  <w:r>
                    <w:rPr>
                      <w:szCs w:val="21"/>
                    </w:rPr>
                    <w:t>是否水库库区</w:t>
                  </w:r>
                </w:p>
              </w:tc>
              <w:tc>
                <w:tcPr>
                  <w:tcW w:w="4743" w:type="dxa"/>
                  <w:gridSpan w:val="2"/>
                  <w:vAlign w:val="center"/>
                </w:tcPr>
                <w:p>
                  <w:pPr>
                    <w:snapToGrid w:val="0"/>
                    <w:spacing w:line="360" w:lineRule="exact"/>
                    <w:contextualSpacing/>
                    <w:jc w:val="center"/>
                    <w:rPr>
                      <w:szCs w:val="21"/>
                    </w:rPr>
                  </w:pPr>
                  <w:r>
                    <w:rPr>
                      <w:szCs w:val="21"/>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12</w:t>
                  </w:r>
                </w:p>
              </w:tc>
              <w:tc>
                <w:tcPr>
                  <w:tcW w:w="3266" w:type="dxa"/>
                  <w:vAlign w:val="center"/>
                </w:tcPr>
                <w:p>
                  <w:pPr>
                    <w:snapToGrid w:val="0"/>
                    <w:spacing w:line="360" w:lineRule="exact"/>
                    <w:contextualSpacing/>
                    <w:jc w:val="center"/>
                    <w:rPr>
                      <w:szCs w:val="21"/>
                    </w:rPr>
                  </w:pPr>
                  <w:r>
                    <w:rPr>
                      <w:szCs w:val="21"/>
                    </w:rPr>
                    <w:t>是否污水处理厂集水范围（拟建）</w:t>
                  </w:r>
                </w:p>
              </w:tc>
              <w:tc>
                <w:tcPr>
                  <w:tcW w:w="4743" w:type="dxa"/>
                  <w:gridSpan w:val="2"/>
                  <w:vAlign w:val="center"/>
                </w:tcPr>
                <w:p>
                  <w:pPr>
                    <w:snapToGrid w:val="0"/>
                    <w:spacing w:line="360" w:lineRule="exact"/>
                    <w:contextualSpacing/>
                    <w:jc w:val="center"/>
                    <w:rPr>
                      <w:szCs w:val="21"/>
                    </w:rPr>
                  </w:pPr>
                  <w:r>
                    <w:rPr>
                      <w:rFonts w:hint="eastAsia"/>
                      <w:szCs w:val="21"/>
                    </w:rPr>
                    <w:t>是</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40" w:hRule="atLeast"/>
                <w:jc w:val="center"/>
              </w:trPr>
              <w:tc>
                <w:tcPr>
                  <w:tcW w:w="799" w:type="dxa"/>
                  <w:vAlign w:val="center"/>
                </w:tcPr>
                <w:p>
                  <w:pPr>
                    <w:snapToGrid w:val="0"/>
                    <w:spacing w:line="360" w:lineRule="exact"/>
                    <w:contextualSpacing/>
                    <w:jc w:val="center"/>
                    <w:rPr>
                      <w:szCs w:val="21"/>
                    </w:rPr>
                  </w:pPr>
                  <w:r>
                    <w:rPr>
                      <w:szCs w:val="21"/>
                    </w:rPr>
                    <w:t>13</w:t>
                  </w:r>
                </w:p>
              </w:tc>
              <w:tc>
                <w:tcPr>
                  <w:tcW w:w="3266" w:type="dxa"/>
                  <w:vAlign w:val="center"/>
                </w:tcPr>
                <w:p>
                  <w:pPr>
                    <w:snapToGrid w:val="0"/>
                    <w:spacing w:line="360" w:lineRule="exact"/>
                    <w:contextualSpacing/>
                    <w:jc w:val="center"/>
                    <w:rPr>
                      <w:szCs w:val="21"/>
                    </w:rPr>
                  </w:pPr>
                  <w:r>
                    <w:rPr>
                      <w:szCs w:val="21"/>
                    </w:rPr>
                    <w:t>是否属于生态敏感与脆弱区</w:t>
                  </w:r>
                </w:p>
              </w:tc>
              <w:tc>
                <w:tcPr>
                  <w:tcW w:w="4743" w:type="dxa"/>
                  <w:gridSpan w:val="2"/>
                  <w:vAlign w:val="center"/>
                </w:tcPr>
                <w:p>
                  <w:pPr>
                    <w:snapToGrid w:val="0"/>
                    <w:spacing w:line="360" w:lineRule="exact"/>
                    <w:contextualSpacing/>
                    <w:jc w:val="center"/>
                    <w:rPr>
                      <w:szCs w:val="21"/>
                    </w:rPr>
                  </w:pPr>
                  <w:r>
                    <w:rPr>
                      <w:szCs w:val="21"/>
                    </w:rPr>
                    <w:t>否</w:t>
                  </w:r>
                </w:p>
              </w:tc>
            </w:tr>
          </w:tbl>
          <w:p>
            <w:pPr>
              <w:spacing w:line="520" w:lineRule="exact"/>
              <w:rPr>
                <w:color w:val="FF0000"/>
                <w:sz w:val="24"/>
              </w:rPr>
            </w:pPr>
          </w:p>
          <w:p>
            <w:pPr>
              <w:pStyle w:val="5"/>
              <w:adjustRightInd/>
              <w:snapToGrid/>
              <w:spacing w:beforeLines="0" w:line="520" w:lineRule="exact"/>
              <w:ind w:firstLine="462"/>
              <w:rPr>
                <w:b/>
                <w:color w:val="FF0000"/>
              </w:rPr>
            </w:pPr>
          </w:p>
          <w:p>
            <w:pPr>
              <w:pStyle w:val="5"/>
              <w:adjustRightInd/>
              <w:snapToGrid/>
              <w:spacing w:beforeLines="0" w:line="520" w:lineRule="exact"/>
              <w:ind w:firstLine="462"/>
              <w:rPr>
                <w:b/>
                <w:color w:val="FF0000"/>
              </w:rPr>
            </w:pPr>
          </w:p>
          <w:p>
            <w:pPr>
              <w:spacing w:line="360" w:lineRule="auto"/>
              <w:rPr>
                <w:color w:val="FF0000"/>
                <w:kern w:val="24"/>
              </w:rPr>
            </w:pPr>
          </w:p>
        </w:tc>
      </w:tr>
    </w:tbl>
    <w:p>
      <w:pPr>
        <w:snapToGrid w:val="0"/>
        <w:textAlignment w:val="baseline"/>
        <w:outlineLvl w:val="0"/>
        <w:rPr>
          <w:rFonts w:eastAsia="黑体"/>
          <w:b/>
          <w:color w:val="000000"/>
          <w:kern w:val="24"/>
          <w:sz w:val="32"/>
        </w:rPr>
      </w:pPr>
      <w:r>
        <w:rPr>
          <w:rFonts w:eastAsia="黑体"/>
          <w:color w:val="FF0000"/>
          <w:sz w:val="32"/>
        </w:rPr>
        <w:br w:type="page"/>
      </w:r>
      <w:bookmarkStart w:id="3" w:name="_Toc460481176"/>
      <w:r>
        <w:rPr>
          <w:rFonts w:hint="eastAsia" w:eastAsia="黑体"/>
          <w:b/>
          <w:color w:val="000000"/>
          <w:sz w:val="32"/>
        </w:rPr>
        <w:t>三、</w:t>
      </w:r>
      <w:r>
        <w:rPr>
          <w:rFonts w:eastAsia="黑体"/>
          <w:b/>
          <w:color w:val="000000"/>
          <w:sz w:val="32"/>
        </w:rPr>
        <w:t>环境质量状况</w:t>
      </w:r>
      <w:bookmarkEnd w:id="3"/>
    </w:p>
    <w:tbl>
      <w:tblPr>
        <w:tblStyle w:val="19"/>
        <w:tblW w:w="9340"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85" w:type="dxa"/>
          <w:bottom w:w="0" w:type="dxa"/>
          <w:right w:w="85" w:type="dxa"/>
        </w:tblCellMar>
      </w:tblPr>
      <w:tblGrid>
        <w:gridCol w:w="934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85" w:type="dxa"/>
            <w:bottom w:w="0" w:type="dxa"/>
            <w:right w:w="85" w:type="dxa"/>
          </w:tblCellMar>
        </w:tblPrEx>
        <w:trPr>
          <w:trHeight w:val="90" w:hRule="atLeast"/>
          <w:jc w:val="center"/>
        </w:trPr>
        <w:tc>
          <w:tcPr>
            <w:tcW w:w="9340" w:type="dxa"/>
          </w:tcPr>
          <w:p>
            <w:pPr>
              <w:snapToGrid w:val="0"/>
              <w:spacing w:line="520" w:lineRule="exact"/>
              <w:contextualSpacing/>
              <w:rPr>
                <w:rFonts w:ascii="宋体" w:hAnsi="宋体"/>
                <w:b/>
                <w:color w:val="000000"/>
                <w:spacing w:val="-10"/>
                <w:sz w:val="28"/>
                <w:szCs w:val="28"/>
              </w:rPr>
            </w:pPr>
            <w:r>
              <w:rPr>
                <w:rFonts w:ascii="宋体" w:hAnsi="宋体"/>
                <w:b/>
                <w:color w:val="000000"/>
                <w:spacing w:val="-10"/>
                <w:sz w:val="28"/>
                <w:szCs w:val="28"/>
              </w:rPr>
              <w:t>建设项目所在地区</w:t>
            </w:r>
            <w:r>
              <w:rPr>
                <w:rFonts w:hint="eastAsia" w:ascii="宋体" w:hAnsi="宋体"/>
                <w:b/>
                <w:color w:val="000000"/>
                <w:spacing w:val="-10"/>
                <w:sz w:val="28"/>
                <w:szCs w:val="28"/>
              </w:rPr>
              <w:t>区域</w:t>
            </w:r>
            <w:r>
              <w:rPr>
                <w:rFonts w:ascii="宋体" w:hAnsi="宋体"/>
                <w:b/>
                <w:color w:val="000000"/>
                <w:spacing w:val="-10"/>
                <w:sz w:val="28"/>
                <w:szCs w:val="28"/>
              </w:rPr>
              <w:t>环境质量现状及主要环境问题(环境空气、地面水、</w:t>
            </w:r>
            <w:r>
              <w:rPr>
                <w:rFonts w:hint="eastAsia" w:ascii="宋体" w:hAnsi="宋体"/>
                <w:b/>
                <w:color w:val="000000"/>
                <w:spacing w:val="-10"/>
                <w:sz w:val="28"/>
                <w:szCs w:val="28"/>
              </w:rPr>
              <w:t>地下水、</w:t>
            </w:r>
            <w:r>
              <w:rPr>
                <w:rFonts w:ascii="宋体" w:hAnsi="宋体"/>
                <w:b/>
                <w:color w:val="000000"/>
                <w:spacing w:val="-10"/>
                <w:sz w:val="28"/>
                <w:szCs w:val="28"/>
              </w:rPr>
              <w:t>声环境、生态环境等)：</w:t>
            </w:r>
          </w:p>
          <w:p>
            <w:pPr>
              <w:snapToGrid w:val="0"/>
              <w:spacing w:line="520" w:lineRule="exact"/>
              <w:ind w:firstLine="462" w:firstLineChars="200"/>
              <w:contextualSpacing/>
              <w:rPr>
                <w:b/>
                <w:color w:val="000000"/>
                <w:sz w:val="24"/>
                <w:szCs w:val="24"/>
              </w:rPr>
            </w:pPr>
            <w:r>
              <w:rPr>
                <w:rFonts w:hint="eastAsia"/>
                <w:b/>
                <w:color w:val="000000"/>
                <w:sz w:val="24"/>
                <w:szCs w:val="24"/>
              </w:rPr>
              <w:t>1、大气环境现状调查与评价（监测数据还没有出来，先忽略）</w:t>
            </w:r>
          </w:p>
          <w:p>
            <w:pPr>
              <w:spacing w:line="360" w:lineRule="auto"/>
              <w:ind w:firstLine="462" w:firstLineChars="200"/>
              <w:rPr>
                <w:kern w:val="0"/>
                <w:sz w:val="24"/>
                <w:szCs w:val="24"/>
              </w:rPr>
            </w:pPr>
            <w:r>
              <w:rPr>
                <w:rFonts w:hint="eastAsia"/>
                <w:kern w:val="0"/>
                <w:sz w:val="24"/>
                <w:szCs w:val="24"/>
              </w:rPr>
              <w:t>本项目委托</w:t>
            </w:r>
            <w:r>
              <w:rPr>
                <w:rFonts w:hint="eastAsia"/>
                <w:sz w:val="24"/>
              </w:rPr>
              <w:t>长沙崇德检测科技有限公司</w:t>
            </w:r>
            <w:r>
              <w:rPr>
                <w:rFonts w:hint="eastAsia"/>
                <w:kern w:val="0"/>
                <w:sz w:val="24"/>
                <w:szCs w:val="24"/>
              </w:rPr>
              <w:t>于2018年5月17日-19日对本项目所在地进行大气监测。</w:t>
            </w:r>
          </w:p>
          <w:p>
            <w:pPr>
              <w:snapToGrid w:val="0"/>
              <w:spacing w:line="520" w:lineRule="exact"/>
              <w:ind w:firstLine="462" w:firstLineChars="200"/>
              <w:contextualSpacing/>
              <w:rPr>
                <w:color w:val="000000"/>
                <w:sz w:val="24"/>
                <w:szCs w:val="24"/>
              </w:rPr>
            </w:pPr>
            <w:r>
              <w:rPr>
                <w:color w:val="000000"/>
                <w:sz w:val="24"/>
                <w:szCs w:val="24"/>
              </w:rPr>
              <w:t>（1）监测点位</w:t>
            </w:r>
          </w:p>
          <w:p>
            <w:pPr>
              <w:snapToGrid w:val="0"/>
              <w:spacing w:line="520" w:lineRule="exact"/>
              <w:ind w:firstLine="462" w:firstLineChars="200"/>
              <w:contextualSpacing/>
              <w:rPr>
                <w:color w:val="000000"/>
                <w:sz w:val="24"/>
                <w:szCs w:val="24"/>
              </w:rPr>
            </w:pPr>
            <w:r>
              <w:rPr>
                <w:color w:val="000000"/>
                <w:sz w:val="24"/>
                <w:szCs w:val="24"/>
              </w:rPr>
              <w:t>A1：</w:t>
            </w:r>
            <w:r>
              <w:rPr>
                <w:rFonts w:hint="eastAsia"/>
                <w:color w:val="000000"/>
                <w:sz w:val="24"/>
                <w:szCs w:val="24"/>
              </w:rPr>
              <w:t>拟建项目所在地；</w:t>
            </w:r>
          </w:p>
          <w:p>
            <w:pPr>
              <w:snapToGrid w:val="0"/>
              <w:spacing w:line="520" w:lineRule="exact"/>
              <w:ind w:firstLine="462" w:firstLineChars="200"/>
              <w:contextualSpacing/>
              <w:rPr>
                <w:color w:val="000000"/>
                <w:sz w:val="24"/>
                <w:szCs w:val="24"/>
              </w:rPr>
            </w:pPr>
            <w:r>
              <w:rPr>
                <w:color w:val="000000"/>
                <w:sz w:val="24"/>
                <w:szCs w:val="24"/>
              </w:rPr>
              <w:t>A</w:t>
            </w:r>
            <w:r>
              <w:rPr>
                <w:rFonts w:hint="eastAsia"/>
                <w:color w:val="000000"/>
                <w:sz w:val="24"/>
                <w:szCs w:val="24"/>
              </w:rPr>
              <w:t>2</w:t>
            </w:r>
            <w:r>
              <w:rPr>
                <w:color w:val="000000"/>
                <w:sz w:val="24"/>
                <w:szCs w:val="24"/>
              </w:rPr>
              <w:t>：</w:t>
            </w:r>
            <w:r>
              <w:rPr>
                <w:rFonts w:hint="eastAsia"/>
                <w:color w:val="000000"/>
                <w:sz w:val="24"/>
                <w:szCs w:val="24"/>
              </w:rPr>
              <w:t>项目所在地东南方；</w:t>
            </w:r>
          </w:p>
          <w:p>
            <w:pPr>
              <w:snapToGrid w:val="0"/>
              <w:spacing w:line="520" w:lineRule="exact"/>
              <w:ind w:firstLine="462" w:firstLineChars="200"/>
              <w:contextualSpacing/>
              <w:rPr>
                <w:color w:val="000000"/>
                <w:sz w:val="24"/>
                <w:szCs w:val="24"/>
              </w:rPr>
            </w:pPr>
            <w:r>
              <w:rPr>
                <w:color w:val="000000"/>
                <w:sz w:val="24"/>
                <w:szCs w:val="24"/>
              </w:rPr>
              <w:t>A</w:t>
            </w:r>
            <w:r>
              <w:rPr>
                <w:rFonts w:hint="eastAsia"/>
                <w:color w:val="000000"/>
                <w:sz w:val="24"/>
                <w:szCs w:val="24"/>
              </w:rPr>
              <w:t>3</w:t>
            </w:r>
            <w:r>
              <w:rPr>
                <w:color w:val="000000"/>
                <w:sz w:val="24"/>
                <w:szCs w:val="24"/>
              </w:rPr>
              <w:t>：</w:t>
            </w:r>
            <w:r>
              <w:rPr>
                <w:rFonts w:hint="eastAsia"/>
                <w:color w:val="000000"/>
                <w:sz w:val="24"/>
                <w:szCs w:val="24"/>
              </w:rPr>
              <w:t>项目所在地西北方；</w:t>
            </w:r>
          </w:p>
          <w:p>
            <w:pPr>
              <w:snapToGrid w:val="0"/>
              <w:spacing w:line="520" w:lineRule="exact"/>
              <w:ind w:firstLine="462" w:firstLineChars="200"/>
              <w:contextualSpacing/>
              <w:rPr>
                <w:color w:val="000000"/>
                <w:sz w:val="24"/>
                <w:szCs w:val="24"/>
              </w:rPr>
            </w:pPr>
            <w:r>
              <w:rPr>
                <w:color w:val="000000"/>
                <w:sz w:val="24"/>
                <w:szCs w:val="24"/>
              </w:rPr>
              <w:t>（2）监测因子</w:t>
            </w:r>
            <w:r>
              <w:rPr>
                <w:rFonts w:hint="eastAsia"/>
                <w:color w:val="000000"/>
                <w:sz w:val="24"/>
                <w:szCs w:val="24"/>
              </w:rPr>
              <w:t>、频次</w:t>
            </w:r>
            <w:r>
              <w:rPr>
                <w:color w:val="000000"/>
                <w:sz w:val="24"/>
                <w:szCs w:val="24"/>
              </w:rPr>
              <w:t>和时间</w:t>
            </w:r>
          </w:p>
          <w:p>
            <w:pPr>
              <w:snapToGrid w:val="0"/>
              <w:spacing w:line="520" w:lineRule="exact"/>
              <w:ind w:firstLine="462" w:firstLineChars="200"/>
              <w:contextualSpacing/>
              <w:rPr>
                <w:color w:val="000000"/>
                <w:sz w:val="24"/>
                <w:szCs w:val="24"/>
              </w:rPr>
            </w:pPr>
            <w:r>
              <w:rPr>
                <w:rFonts w:hint="eastAsia"/>
                <w:color w:val="000000"/>
                <w:sz w:val="24"/>
                <w:szCs w:val="24"/>
              </w:rPr>
              <w:t>监测时间：2018年5月17日至5月19日；</w:t>
            </w:r>
          </w:p>
          <w:p>
            <w:pPr>
              <w:snapToGrid w:val="0"/>
              <w:spacing w:line="520" w:lineRule="exact"/>
              <w:ind w:firstLine="462" w:firstLineChars="200"/>
              <w:contextualSpacing/>
              <w:rPr>
                <w:color w:val="000000"/>
                <w:sz w:val="24"/>
                <w:szCs w:val="24"/>
              </w:rPr>
            </w:pPr>
            <w:r>
              <w:rPr>
                <w:color w:val="000000"/>
                <w:sz w:val="24"/>
                <w:szCs w:val="24"/>
              </w:rPr>
              <w:t>监测</w:t>
            </w:r>
            <w:r>
              <w:rPr>
                <w:rFonts w:hint="eastAsia"/>
                <w:color w:val="000000"/>
                <w:sz w:val="24"/>
                <w:szCs w:val="24"/>
              </w:rPr>
              <w:t>因子：</w:t>
            </w:r>
            <w:r>
              <w:rPr>
                <w:color w:val="000000"/>
                <w:sz w:val="24"/>
                <w:szCs w:val="24"/>
              </w:rPr>
              <w:t>SO</w:t>
            </w:r>
            <w:r>
              <w:rPr>
                <w:color w:val="000000"/>
                <w:sz w:val="24"/>
                <w:szCs w:val="24"/>
                <w:vertAlign w:val="subscript"/>
              </w:rPr>
              <w:t>2</w:t>
            </w:r>
            <w:r>
              <w:rPr>
                <w:color w:val="000000"/>
                <w:sz w:val="24"/>
                <w:szCs w:val="24"/>
              </w:rPr>
              <w:t>、NO</w:t>
            </w:r>
            <w:r>
              <w:rPr>
                <w:color w:val="000000"/>
                <w:sz w:val="24"/>
                <w:szCs w:val="24"/>
                <w:vertAlign w:val="subscript"/>
              </w:rPr>
              <w:t>2</w:t>
            </w:r>
            <w:r>
              <w:rPr>
                <w:color w:val="000000"/>
                <w:sz w:val="24"/>
                <w:szCs w:val="24"/>
              </w:rPr>
              <w:t>、PM</w:t>
            </w:r>
            <w:r>
              <w:rPr>
                <w:color w:val="000000"/>
                <w:sz w:val="24"/>
                <w:szCs w:val="24"/>
                <w:vertAlign w:val="subscript"/>
              </w:rPr>
              <w:t>10</w:t>
            </w:r>
            <w:r>
              <w:rPr>
                <w:color w:val="000000"/>
                <w:sz w:val="24"/>
                <w:szCs w:val="24"/>
              </w:rPr>
              <w:t>日均值浓度。</w:t>
            </w:r>
          </w:p>
          <w:p>
            <w:pPr>
              <w:snapToGrid w:val="0"/>
              <w:spacing w:line="520" w:lineRule="exact"/>
              <w:ind w:firstLine="462" w:firstLineChars="200"/>
              <w:contextualSpacing/>
              <w:rPr>
                <w:color w:val="000000"/>
                <w:sz w:val="24"/>
                <w:szCs w:val="24"/>
              </w:rPr>
            </w:pPr>
            <w:r>
              <w:rPr>
                <w:color w:val="000000"/>
                <w:sz w:val="24"/>
                <w:szCs w:val="24"/>
              </w:rPr>
              <w:t>（3）监测结果统计与评价见表3-</w:t>
            </w:r>
            <w:r>
              <w:rPr>
                <w:rFonts w:hint="eastAsia"/>
                <w:color w:val="000000"/>
                <w:sz w:val="24"/>
                <w:szCs w:val="24"/>
              </w:rPr>
              <w:t>1</w:t>
            </w:r>
            <w:r>
              <w:rPr>
                <w:color w:val="000000"/>
                <w:sz w:val="24"/>
                <w:szCs w:val="24"/>
              </w:rPr>
              <w:t>。</w:t>
            </w:r>
          </w:p>
          <w:p>
            <w:pPr>
              <w:snapToGrid w:val="0"/>
              <w:spacing w:line="520" w:lineRule="exact"/>
              <w:contextualSpacing/>
              <w:jc w:val="center"/>
              <w:rPr>
                <w:color w:val="000000"/>
                <w:kern w:val="0"/>
              </w:rPr>
            </w:pPr>
            <w:r>
              <w:rPr>
                <w:b/>
                <w:color w:val="000000"/>
                <w:sz w:val="24"/>
                <w:szCs w:val="24"/>
              </w:rPr>
              <w:t>表3-1   环境空气质量监测及评价结果统计  单位：mg/m</w:t>
            </w:r>
            <w:r>
              <w:rPr>
                <w:b/>
                <w:color w:val="000000"/>
                <w:sz w:val="24"/>
                <w:szCs w:val="24"/>
                <w:vertAlign w:val="superscript"/>
              </w:rPr>
              <w:t>3</w:t>
            </w:r>
            <w:r>
              <w:rPr>
                <w:color w:val="000000"/>
                <w:kern w:val="0"/>
              </w:rPr>
              <w:t xml:space="preserve"> </w:t>
            </w:r>
          </w:p>
          <w:tbl>
            <w:tblPr>
              <w:tblStyle w:val="19"/>
              <w:tblW w:w="907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13"/>
              <w:gridCol w:w="1061"/>
              <w:gridCol w:w="1146"/>
              <w:gridCol w:w="1143"/>
              <w:gridCol w:w="1146"/>
              <w:gridCol w:w="1135"/>
              <w:gridCol w:w="1119"/>
              <w:gridCol w:w="11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1" w:hRule="atLeast"/>
                <w:tblHeader/>
                <w:jc w:val="center"/>
              </w:trPr>
              <w:tc>
                <w:tcPr>
                  <w:tcW w:w="1213" w:type="dxa"/>
                  <w:vMerge w:val="restart"/>
                  <w:vAlign w:val="center"/>
                </w:tcPr>
                <w:p>
                  <w:pPr>
                    <w:snapToGrid w:val="0"/>
                    <w:spacing w:line="360" w:lineRule="exact"/>
                    <w:contextualSpacing/>
                    <w:jc w:val="center"/>
                    <w:rPr>
                      <w:color w:val="000000"/>
                      <w:szCs w:val="21"/>
                    </w:rPr>
                  </w:pPr>
                  <w:r>
                    <w:rPr>
                      <w:color w:val="000000"/>
                      <w:szCs w:val="21"/>
                    </w:rPr>
                    <w:t>采样</w:t>
                  </w:r>
                  <w:r>
                    <w:rPr>
                      <w:rFonts w:hint="eastAsia"/>
                      <w:color w:val="000000"/>
                      <w:szCs w:val="21"/>
                    </w:rPr>
                    <w:t>点位</w:t>
                  </w:r>
                </w:p>
              </w:tc>
              <w:tc>
                <w:tcPr>
                  <w:tcW w:w="1061" w:type="dxa"/>
                  <w:vMerge w:val="restart"/>
                  <w:vAlign w:val="center"/>
                </w:tcPr>
                <w:p>
                  <w:pPr>
                    <w:snapToGrid w:val="0"/>
                    <w:spacing w:line="360" w:lineRule="exact"/>
                    <w:contextualSpacing/>
                    <w:jc w:val="center"/>
                    <w:rPr>
                      <w:color w:val="000000"/>
                      <w:szCs w:val="21"/>
                    </w:rPr>
                  </w:pPr>
                  <w:r>
                    <w:rPr>
                      <w:rFonts w:hint="eastAsia"/>
                      <w:color w:val="000000"/>
                      <w:szCs w:val="21"/>
                    </w:rPr>
                    <w:t>检测项目</w:t>
                  </w:r>
                </w:p>
              </w:tc>
              <w:tc>
                <w:tcPr>
                  <w:tcW w:w="3435" w:type="dxa"/>
                  <w:gridSpan w:val="3"/>
                  <w:vAlign w:val="center"/>
                </w:tcPr>
                <w:p>
                  <w:pPr>
                    <w:snapToGrid w:val="0"/>
                    <w:spacing w:line="360" w:lineRule="exact"/>
                    <w:contextualSpacing/>
                    <w:jc w:val="center"/>
                    <w:rPr>
                      <w:color w:val="000000"/>
                      <w:szCs w:val="21"/>
                    </w:rPr>
                  </w:pPr>
                  <w:r>
                    <w:rPr>
                      <w:color w:val="000000"/>
                      <w:szCs w:val="21"/>
                    </w:rPr>
                    <w:t>检测结果</w:t>
                  </w:r>
                </w:p>
              </w:tc>
              <w:tc>
                <w:tcPr>
                  <w:tcW w:w="1135" w:type="dxa"/>
                  <w:vMerge w:val="restart"/>
                  <w:vAlign w:val="center"/>
                </w:tcPr>
                <w:p>
                  <w:pPr>
                    <w:snapToGrid w:val="0"/>
                    <w:spacing w:line="360" w:lineRule="exact"/>
                    <w:contextualSpacing/>
                    <w:jc w:val="center"/>
                    <w:rPr>
                      <w:color w:val="000000"/>
                      <w:szCs w:val="21"/>
                    </w:rPr>
                  </w:pPr>
                  <w:r>
                    <w:rPr>
                      <w:rFonts w:hint="eastAsia"/>
                      <w:color w:val="000000"/>
                      <w:szCs w:val="21"/>
                    </w:rPr>
                    <w:t>评价标准</w:t>
                  </w:r>
                </w:p>
              </w:tc>
              <w:tc>
                <w:tcPr>
                  <w:tcW w:w="1119" w:type="dxa"/>
                  <w:vMerge w:val="restart"/>
                  <w:vAlign w:val="center"/>
                </w:tcPr>
                <w:p>
                  <w:pPr>
                    <w:snapToGrid w:val="0"/>
                    <w:spacing w:line="360" w:lineRule="exact"/>
                    <w:contextualSpacing/>
                    <w:jc w:val="center"/>
                    <w:rPr>
                      <w:color w:val="000000"/>
                      <w:szCs w:val="21"/>
                    </w:rPr>
                  </w:pPr>
                  <w:r>
                    <w:rPr>
                      <w:rFonts w:hint="eastAsia"/>
                      <w:color w:val="000000"/>
                      <w:szCs w:val="21"/>
                    </w:rPr>
                    <w:t>超标率</w:t>
                  </w:r>
                </w:p>
              </w:tc>
              <w:tc>
                <w:tcPr>
                  <w:tcW w:w="1108" w:type="dxa"/>
                  <w:vMerge w:val="restart"/>
                  <w:vAlign w:val="center"/>
                </w:tcPr>
                <w:p>
                  <w:pPr>
                    <w:snapToGrid w:val="0"/>
                    <w:spacing w:line="360" w:lineRule="exact"/>
                    <w:contextualSpacing/>
                    <w:jc w:val="center"/>
                    <w:rPr>
                      <w:color w:val="000000"/>
                      <w:szCs w:val="21"/>
                    </w:rPr>
                  </w:pPr>
                  <w:r>
                    <w:rPr>
                      <w:rFonts w:hint="eastAsia"/>
                      <w:color w:val="000000"/>
                      <w:szCs w:val="21"/>
                    </w:rPr>
                    <w:t>最大超标倍数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7" w:hRule="atLeast"/>
                <w:tblHeader/>
                <w:jc w:val="center"/>
              </w:trPr>
              <w:tc>
                <w:tcPr>
                  <w:tcW w:w="1213" w:type="dxa"/>
                  <w:vMerge w:val="continue"/>
                  <w:vAlign w:val="center"/>
                </w:tcPr>
                <w:p>
                  <w:pPr>
                    <w:snapToGrid w:val="0"/>
                    <w:spacing w:line="360" w:lineRule="exact"/>
                    <w:contextualSpacing/>
                    <w:jc w:val="center"/>
                    <w:rPr>
                      <w:color w:val="000000"/>
                      <w:szCs w:val="21"/>
                    </w:rPr>
                  </w:pPr>
                </w:p>
              </w:tc>
              <w:tc>
                <w:tcPr>
                  <w:tcW w:w="1061" w:type="dxa"/>
                  <w:vMerge w:val="continue"/>
                  <w:vAlign w:val="center"/>
                </w:tcPr>
                <w:p>
                  <w:pPr>
                    <w:snapToGrid w:val="0"/>
                    <w:spacing w:line="360" w:lineRule="exact"/>
                    <w:contextualSpacing/>
                    <w:jc w:val="center"/>
                    <w:rPr>
                      <w:color w:val="000000"/>
                      <w:szCs w:val="21"/>
                    </w:rPr>
                  </w:pPr>
                </w:p>
              </w:tc>
              <w:tc>
                <w:tcPr>
                  <w:tcW w:w="1146" w:type="dxa"/>
                  <w:vAlign w:val="center"/>
                </w:tcPr>
                <w:p>
                  <w:pPr>
                    <w:snapToGrid w:val="0"/>
                    <w:spacing w:line="360" w:lineRule="exact"/>
                    <w:contextualSpacing/>
                    <w:jc w:val="center"/>
                    <w:rPr>
                      <w:color w:val="000000"/>
                      <w:szCs w:val="21"/>
                    </w:rPr>
                  </w:pPr>
                  <w:r>
                    <w:rPr>
                      <w:rFonts w:hint="eastAsia"/>
                      <w:color w:val="000000"/>
                      <w:szCs w:val="21"/>
                    </w:rPr>
                    <w:t>5月17日</w:t>
                  </w:r>
                </w:p>
              </w:tc>
              <w:tc>
                <w:tcPr>
                  <w:tcW w:w="1143" w:type="dxa"/>
                  <w:vAlign w:val="center"/>
                </w:tcPr>
                <w:p>
                  <w:pPr>
                    <w:snapToGrid w:val="0"/>
                    <w:spacing w:line="360" w:lineRule="exact"/>
                    <w:contextualSpacing/>
                    <w:jc w:val="center"/>
                    <w:rPr>
                      <w:color w:val="000000"/>
                      <w:szCs w:val="21"/>
                    </w:rPr>
                  </w:pPr>
                  <w:r>
                    <w:rPr>
                      <w:rFonts w:hint="eastAsia"/>
                      <w:color w:val="000000"/>
                      <w:szCs w:val="21"/>
                    </w:rPr>
                    <w:t>5月18日</w:t>
                  </w:r>
                </w:p>
              </w:tc>
              <w:tc>
                <w:tcPr>
                  <w:tcW w:w="1146" w:type="dxa"/>
                  <w:vAlign w:val="center"/>
                </w:tcPr>
                <w:p>
                  <w:pPr>
                    <w:snapToGrid w:val="0"/>
                    <w:spacing w:line="360" w:lineRule="exact"/>
                    <w:contextualSpacing/>
                    <w:jc w:val="center"/>
                    <w:rPr>
                      <w:color w:val="000000"/>
                      <w:szCs w:val="21"/>
                    </w:rPr>
                  </w:pPr>
                  <w:r>
                    <w:rPr>
                      <w:rFonts w:hint="eastAsia"/>
                      <w:color w:val="000000"/>
                      <w:szCs w:val="21"/>
                    </w:rPr>
                    <w:t>5月19日</w:t>
                  </w:r>
                </w:p>
              </w:tc>
              <w:tc>
                <w:tcPr>
                  <w:tcW w:w="1135" w:type="dxa"/>
                  <w:vMerge w:val="continue"/>
                  <w:vAlign w:val="center"/>
                </w:tcPr>
                <w:p>
                  <w:pPr>
                    <w:snapToGrid w:val="0"/>
                    <w:spacing w:line="360" w:lineRule="exact"/>
                    <w:contextualSpacing/>
                    <w:jc w:val="center"/>
                    <w:rPr>
                      <w:color w:val="000000"/>
                      <w:szCs w:val="21"/>
                    </w:rPr>
                  </w:pPr>
                </w:p>
              </w:tc>
              <w:tc>
                <w:tcPr>
                  <w:tcW w:w="1119" w:type="dxa"/>
                  <w:vMerge w:val="continue"/>
                  <w:vAlign w:val="center"/>
                </w:tcPr>
                <w:p>
                  <w:pPr>
                    <w:snapToGrid w:val="0"/>
                    <w:spacing w:line="360" w:lineRule="exact"/>
                    <w:contextualSpacing/>
                    <w:jc w:val="center"/>
                    <w:rPr>
                      <w:color w:val="000000"/>
                      <w:szCs w:val="21"/>
                    </w:rPr>
                  </w:pPr>
                </w:p>
              </w:tc>
              <w:tc>
                <w:tcPr>
                  <w:tcW w:w="1108" w:type="dxa"/>
                  <w:vMerge w:val="continue"/>
                  <w:vAlign w:val="center"/>
                </w:tcPr>
                <w:p>
                  <w:pPr>
                    <w:snapToGrid w:val="0"/>
                    <w:spacing w:line="360" w:lineRule="exact"/>
                    <w:contextualSpacing/>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8" w:hRule="atLeast"/>
                <w:jc w:val="center"/>
              </w:trPr>
              <w:tc>
                <w:tcPr>
                  <w:tcW w:w="1213" w:type="dxa"/>
                  <w:vMerge w:val="restart"/>
                  <w:vAlign w:val="center"/>
                </w:tcPr>
                <w:p>
                  <w:pPr>
                    <w:snapToGrid w:val="0"/>
                    <w:spacing w:line="360" w:lineRule="exact"/>
                    <w:contextualSpacing/>
                    <w:jc w:val="center"/>
                    <w:rPr>
                      <w:color w:val="000000"/>
                      <w:szCs w:val="21"/>
                    </w:rPr>
                  </w:pPr>
                  <w:r>
                    <w:rPr>
                      <w:rFonts w:hint="eastAsia"/>
                      <w:color w:val="000000"/>
                      <w:szCs w:val="21"/>
                    </w:rPr>
                    <w:t>拟建项目所在地</w:t>
                  </w:r>
                </w:p>
              </w:tc>
              <w:tc>
                <w:tcPr>
                  <w:tcW w:w="1061" w:type="dxa"/>
                  <w:vAlign w:val="center"/>
                </w:tcPr>
                <w:p>
                  <w:pPr>
                    <w:snapToGrid w:val="0"/>
                    <w:spacing w:line="360" w:lineRule="exact"/>
                    <w:contextualSpacing/>
                    <w:jc w:val="center"/>
                    <w:rPr>
                      <w:color w:val="000000"/>
                      <w:szCs w:val="21"/>
                    </w:rPr>
                  </w:pPr>
                  <w:r>
                    <w:rPr>
                      <w:rFonts w:hint="eastAsia"/>
                      <w:color w:val="000000"/>
                      <w:szCs w:val="21"/>
                    </w:rPr>
                    <w:t>PM</w:t>
                  </w:r>
                  <w:r>
                    <w:rPr>
                      <w:rFonts w:hint="eastAsia"/>
                      <w:color w:val="000000"/>
                      <w:szCs w:val="21"/>
                      <w:vertAlign w:val="subscript"/>
                    </w:rPr>
                    <w:t>10</w:t>
                  </w:r>
                </w:p>
              </w:tc>
              <w:tc>
                <w:tcPr>
                  <w:tcW w:w="1146" w:type="dxa"/>
                  <w:vAlign w:val="center"/>
                </w:tcPr>
                <w:p>
                  <w:pPr>
                    <w:spacing w:line="300" w:lineRule="auto"/>
                    <w:jc w:val="center"/>
                    <w:rPr>
                      <w:color w:val="000000"/>
                      <w:szCs w:val="21"/>
                    </w:rPr>
                  </w:pPr>
                  <w:r>
                    <w:rPr>
                      <w:rFonts w:hint="eastAsia" w:eastAsia="宋体"/>
                      <w:szCs w:val="21"/>
                    </w:rPr>
                    <w:t>0.078</w:t>
                  </w:r>
                </w:p>
              </w:tc>
              <w:tc>
                <w:tcPr>
                  <w:tcW w:w="1143" w:type="dxa"/>
                  <w:vAlign w:val="center"/>
                </w:tcPr>
                <w:p>
                  <w:pPr>
                    <w:spacing w:line="300" w:lineRule="auto"/>
                    <w:jc w:val="center"/>
                    <w:rPr>
                      <w:color w:val="000000"/>
                      <w:szCs w:val="21"/>
                    </w:rPr>
                  </w:pPr>
                  <w:r>
                    <w:rPr>
                      <w:rFonts w:hint="eastAsia" w:eastAsia="宋体"/>
                      <w:szCs w:val="21"/>
                    </w:rPr>
                    <w:t>0.074</w:t>
                  </w:r>
                </w:p>
              </w:tc>
              <w:tc>
                <w:tcPr>
                  <w:tcW w:w="1146" w:type="dxa"/>
                  <w:vAlign w:val="center"/>
                </w:tcPr>
                <w:p>
                  <w:pPr>
                    <w:snapToGrid w:val="0"/>
                    <w:spacing w:line="360" w:lineRule="exact"/>
                    <w:contextualSpacing/>
                    <w:jc w:val="center"/>
                    <w:rPr>
                      <w:color w:val="000000"/>
                      <w:szCs w:val="21"/>
                    </w:rPr>
                  </w:pPr>
                  <w:r>
                    <w:rPr>
                      <w:rFonts w:hint="eastAsia"/>
                      <w:color w:val="000000"/>
                      <w:szCs w:val="21"/>
                    </w:rPr>
                    <w:t>0.082</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二氧化氮</w:t>
                  </w:r>
                </w:p>
              </w:tc>
              <w:tc>
                <w:tcPr>
                  <w:tcW w:w="1146" w:type="dxa"/>
                  <w:vAlign w:val="center"/>
                </w:tcPr>
                <w:p>
                  <w:pPr>
                    <w:spacing w:line="300" w:lineRule="auto"/>
                    <w:jc w:val="center"/>
                    <w:rPr>
                      <w:color w:val="000000"/>
                      <w:szCs w:val="21"/>
                    </w:rPr>
                  </w:pPr>
                  <w:r>
                    <w:rPr>
                      <w:rFonts w:hint="eastAsia" w:eastAsia="宋体"/>
                      <w:szCs w:val="21"/>
                    </w:rPr>
                    <w:t>0.023</w:t>
                  </w:r>
                </w:p>
              </w:tc>
              <w:tc>
                <w:tcPr>
                  <w:tcW w:w="1143" w:type="dxa"/>
                  <w:vAlign w:val="center"/>
                </w:tcPr>
                <w:p>
                  <w:pPr>
                    <w:spacing w:line="300" w:lineRule="auto"/>
                    <w:jc w:val="center"/>
                    <w:rPr>
                      <w:color w:val="000000"/>
                      <w:szCs w:val="21"/>
                    </w:rPr>
                  </w:pPr>
                  <w:r>
                    <w:rPr>
                      <w:rFonts w:hint="eastAsia" w:eastAsia="宋体"/>
                      <w:szCs w:val="21"/>
                    </w:rPr>
                    <w:t>0.016</w:t>
                  </w:r>
                </w:p>
              </w:tc>
              <w:tc>
                <w:tcPr>
                  <w:tcW w:w="1146" w:type="dxa"/>
                  <w:vAlign w:val="center"/>
                </w:tcPr>
                <w:p>
                  <w:pPr>
                    <w:snapToGrid w:val="0"/>
                    <w:spacing w:line="360" w:lineRule="exact"/>
                    <w:contextualSpacing/>
                    <w:jc w:val="center"/>
                    <w:rPr>
                      <w:color w:val="000000"/>
                      <w:szCs w:val="21"/>
                    </w:rPr>
                  </w:pPr>
                  <w:r>
                    <w:rPr>
                      <w:rFonts w:hint="eastAsia"/>
                      <w:color w:val="000000"/>
                      <w:szCs w:val="21"/>
                    </w:rPr>
                    <w:t>0.018</w:t>
                  </w:r>
                </w:p>
              </w:tc>
              <w:tc>
                <w:tcPr>
                  <w:tcW w:w="1135" w:type="dxa"/>
                  <w:vAlign w:val="center"/>
                </w:tcPr>
                <w:p>
                  <w:pPr>
                    <w:snapToGrid w:val="0"/>
                    <w:spacing w:line="360" w:lineRule="exact"/>
                    <w:contextualSpacing/>
                    <w:jc w:val="center"/>
                    <w:rPr>
                      <w:color w:val="000000"/>
                      <w:szCs w:val="21"/>
                    </w:rPr>
                  </w:pPr>
                  <w:r>
                    <w:rPr>
                      <w:rFonts w:hint="eastAsia"/>
                      <w:color w:val="000000"/>
                      <w:szCs w:val="21"/>
                    </w:rPr>
                    <w:t>0.08</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2"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二氧化硫</w:t>
                  </w:r>
                </w:p>
              </w:tc>
              <w:tc>
                <w:tcPr>
                  <w:tcW w:w="1146" w:type="dxa"/>
                  <w:vAlign w:val="center"/>
                </w:tcPr>
                <w:p>
                  <w:pPr>
                    <w:spacing w:line="300" w:lineRule="auto"/>
                    <w:jc w:val="center"/>
                    <w:rPr>
                      <w:color w:val="000000"/>
                      <w:szCs w:val="21"/>
                    </w:rPr>
                  </w:pPr>
                  <w:r>
                    <w:rPr>
                      <w:rFonts w:hint="eastAsia" w:eastAsia="宋体"/>
                      <w:szCs w:val="21"/>
                    </w:rPr>
                    <w:t>0.012</w:t>
                  </w:r>
                </w:p>
              </w:tc>
              <w:tc>
                <w:tcPr>
                  <w:tcW w:w="1143" w:type="dxa"/>
                  <w:vAlign w:val="center"/>
                </w:tcPr>
                <w:p>
                  <w:pPr>
                    <w:spacing w:line="300" w:lineRule="auto"/>
                    <w:jc w:val="center"/>
                    <w:rPr>
                      <w:color w:val="000000"/>
                      <w:szCs w:val="21"/>
                    </w:rPr>
                  </w:pPr>
                  <w:r>
                    <w:rPr>
                      <w:rFonts w:hint="eastAsia" w:eastAsia="宋体"/>
                      <w:szCs w:val="21"/>
                    </w:rPr>
                    <w:t>0.014</w:t>
                  </w:r>
                </w:p>
              </w:tc>
              <w:tc>
                <w:tcPr>
                  <w:tcW w:w="1146" w:type="dxa"/>
                  <w:vAlign w:val="center"/>
                </w:tcPr>
                <w:p>
                  <w:pPr>
                    <w:snapToGrid w:val="0"/>
                    <w:spacing w:line="360" w:lineRule="exact"/>
                    <w:contextualSpacing/>
                    <w:jc w:val="center"/>
                    <w:rPr>
                      <w:color w:val="000000"/>
                      <w:szCs w:val="21"/>
                    </w:rPr>
                  </w:pPr>
                  <w:r>
                    <w:rPr>
                      <w:rFonts w:hint="eastAsia"/>
                      <w:color w:val="000000"/>
                      <w:szCs w:val="21"/>
                    </w:rPr>
                    <w:t>0.016</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3" w:hRule="atLeast"/>
                <w:jc w:val="center"/>
              </w:trPr>
              <w:tc>
                <w:tcPr>
                  <w:tcW w:w="1213" w:type="dxa"/>
                  <w:vMerge w:val="restart"/>
                  <w:vAlign w:val="center"/>
                </w:tcPr>
                <w:p>
                  <w:pPr>
                    <w:snapToGrid w:val="0"/>
                    <w:spacing w:line="360" w:lineRule="exact"/>
                    <w:contextualSpacing/>
                    <w:jc w:val="center"/>
                    <w:rPr>
                      <w:color w:val="000000"/>
                      <w:szCs w:val="21"/>
                    </w:rPr>
                  </w:pPr>
                  <w:r>
                    <w:rPr>
                      <w:rFonts w:hint="eastAsia"/>
                      <w:color w:val="000000"/>
                      <w:szCs w:val="21"/>
                    </w:rPr>
                    <w:t>项目所在地东南方</w:t>
                  </w:r>
                </w:p>
              </w:tc>
              <w:tc>
                <w:tcPr>
                  <w:tcW w:w="1061" w:type="dxa"/>
                  <w:vAlign w:val="center"/>
                </w:tcPr>
                <w:p>
                  <w:pPr>
                    <w:snapToGrid w:val="0"/>
                    <w:spacing w:line="360" w:lineRule="exact"/>
                    <w:contextualSpacing/>
                    <w:jc w:val="center"/>
                    <w:rPr>
                      <w:color w:val="000000"/>
                      <w:szCs w:val="21"/>
                    </w:rPr>
                  </w:pPr>
                  <w:r>
                    <w:rPr>
                      <w:rFonts w:hint="eastAsia"/>
                      <w:color w:val="000000"/>
                      <w:szCs w:val="21"/>
                    </w:rPr>
                    <w:t>PM</w:t>
                  </w:r>
                  <w:r>
                    <w:rPr>
                      <w:rFonts w:hint="eastAsia"/>
                      <w:color w:val="000000"/>
                      <w:szCs w:val="21"/>
                      <w:vertAlign w:val="subscript"/>
                    </w:rPr>
                    <w:t>10</w:t>
                  </w:r>
                </w:p>
              </w:tc>
              <w:tc>
                <w:tcPr>
                  <w:tcW w:w="1146" w:type="dxa"/>
                  <w:vAlign w:val="center"/>
                </w:tcPr>
                <w:p>
                  <w:pPr>
                    <w:spacing w:line="300" w:lineRule="auto"/>
                    <w:jc w:val="center"/>
                    <w:rPr>
                      <w:color w:val="000000"/>
                      <w:szCs w:val="21"/>
                    </w:rPr>
                  </w:pPr>
                  <w:r>
                    <w:rPr>
                      <w:rFonts w:hint="eastAsia" w:eastAsia="宋体"/>
                      <w:szCs w:val="21"/>
                    </w:rPr>
                    <w:t>0.071</w:t>
                  </w:r>
                </w:p>
              </w:tc>
              <w:tc>
                <w:tcPr>
                  <w:tcW w:w="1143" w:type="dxa"/>
                  <w:vAlign w:val="center"/>
                </w:tcPr>
                <w:p>
                  <w:pPr>
                    <w:spacing w:line="300" w:lineRule="auto"/>
                    <w:jc w:val="center"/>
                    <w:rPr>
                      <w:color w:val="000000"/>
                      <w:szCs w:val="21"/>
                    </w:rPr>
                  </w:pPr>
                  <w:r>
                    <w:rPr>
                      <w:rFonts w:hint="eastAsia" w:eastAsia="宋体"/>
                      <w:szCs w:val="21"/>
                    </w:rPr>
                    <w:t>0.068</w:t>
                  </w:r>
                </w:p>
              </w:tc>
              <w:tc>
                <w:tcPr>
                  <w:tcW w:w="1146" w:type="dxa"/>
                  <w:vAlign w:val="center"/>
                </w:tcPr>
                <w:p>
                  <w:pPr>
                    <w:snapToGrid w:val="0"/>
                    <w:spacing w:line="360" w:lineRule="exact"/>
                    <w:contextualSpacing/>
                    <w:jc w:val="center"/>
                    <w:rPr>
                      <w:color w:val="000000"/>
                      <w:szCs w:val="21"/>
                    </w:rPr>
                  </w:pPr>
                  <w:r>
                    <w:rPr>
                      <w:rFonts w:hint="eastAsia"/>
                      <w:color w:val="000000"/>
                      <w:szCs w:val="21"/>
                    </w:rPr>
                    <w:t>0.072</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1"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二氧化氮</w:t>
                  </w:r>
                </w:p>
              </w:tc>
              <w:tc>
                <w:tcPr>
                  <w:tcW w:w="1146" w:type="dxa"/>
                  <w:vAlign w:val="center"/>
                </w:tcPr>
                <w:p>
                  <w:pPr>
                    <w:spacing w:line="300" w:lineRule="auto"/>
                    <w:jc w:val="center"/>
                    <w:rPr>
                      <w:color w:val="000000"/>
                      <w:szCs w:val="21"/>
                    </w:rPr>
                  </w:pPr>
                  <w:r>
                    <w:rPr>
                      <w:rFonts w:hint="eastAsia" w:eastAsia="宋体"/>
                      <w:szCs w:val="21"/>
                    </w:rPr>
                    <w:t>0.018</w:t>
                  </w:r>
                </w:p>
              </w:tc>
              <w:tc>
                <w:tcPr>
                  <w:tcW w:w="1143" w:type="dxa"/>
                  <w:vAlign w:val="center"/>
                </w:tcPr>
                <w:p>
                  <w:pPr>
                    <w:spacing w:line="300" w:lineRule="auto"/>
                    <w:jc w:val="center"/>
                    <w:rPr>
                      <w:color w:val="000000"/>
                      <w:szCs w:val="21"/>
                    </w:rPr>
                  </w:pPr>
                  <w:r>
                    <w:rPr>
                      <w:rFonts w:hint="eastAsia" w:eastAsia="宋体"/>
                      <w:szCs w:val="21"/>
                    </w:rPr>
                    <w:t>0.012</w:t>
                  </w:r>
                </w:p>
              </w:tc>
              <w:tc>
                <w:tcPr>
                  <w:tcW w:w="1146" w:type="dxa"/>
                  <w:vAlign w:val="center"/>
                </w:tcPr>
                <w:p>
                  <w:pPr>
                    <w:snapToGrid w:val="0"/>
                    <w:spacing w:line="360" w:lineRule="exact"/>
                    <w:contextualSpacing/>
                    <w:jc w:val="center"/>
                    <w:rPr>
                      <w:color w:val="000000"/>
                      <w:szCs w:val="21"/>
                    </w:rPr>
                  </w:pPr>
                  <w:r>
                    <w:rPr>
                      <w:rFonts w:hint="eastAsia"/>
                      <w:color w:val="000000"/>
                      <w:szCs w:val="21"/>
                    </w:rPr>
                    <w:t>0.022</w:t>
                  </w:r>
                </w:p>
              </w:tc>
              <w:tc>
                <w:tcPr>
                  <w:tcW w:w="1135" w:type="dxa"/>
                  <w:vAlign w:val="center"/>
                </w:tcPr>
                <w:p>
                  <w:pPr>
                    <w:snapToGrid w:val="0"/>
                    <w:spacing w:line="360" w:lineRule="exact"/>
                    <w:contextualSpacing/>
                    <w:jc w:val="center"/>
                    <w:rPr>
                      <w:color w:val="000000"/>
                      <w:szCs w:val="21"/>
                    </w:rPr>
                  </w:pPr>
                  <w:r>
                    <w:rPr>
                      <w:rFonts w:hint="eastAsia"/>
                      <w:color w:val="000000"/>
                      <w:szCs w:val="21"/>
                    </w:rPr>
                    <w:t>0.08</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1"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二氧化硫</w:t>
                  </w:r>
                </w:p>
              </w:tc>
              <w:tc>
                <w:tcPr>
                  <w:tcW w:w="1146" w:type="dxa"/>
                  <w:vAlign w:val="center"/>
                </w:tcPr>
                <w:p>
                  <w:pPr>
                    <w:spacing w:line="300" w:lineRule="auto"/>
                    <w:jc w:val="center"/>
                    <w:rPr>
                      <w:color w:val="000000"/>
                      <w:szCs w:val="21"/>
                    </w:rPr>
                  </w:pPr>
                  <w:r>
                    <w:rPr>
                      <w:rFonts w:hint="eastAsia" w:eastAsia="宋体"/>
                      <w:szCs w:val="21"/>
                    </w:rPr>
                    <w:t>0.010</w:t>
                  </w:r>
                </w:p>
              </w:tc>
              <w:tc>
                <w:tcPr>
                  <w:tcW w:w="1143" w:type="dxa"/>
                  <w:vAlign w:val="center"/>
                </w:tcPr>
                <w:p>
                  <w:pPr>
                    <w:spacing w:line="300" w:lineRule="auto"/>
                    <w:jc w:val="center"/>
                    <w:rPr>
                      <w:color w:val="000000"/>
                      <w:szCs w:val="21"/>
                    </w:rPr>
                  </w:pPr>
                  <w:r>
                    <w:rPr>
                      <w:rFonts w:hint="eastAsia" w:eastAsia="宋体"/>
                      <w:szCs w:val="21"/>
                    </w:rPr>
                    <w:t>0.011</w:t>
                  </w:r>
                </w:p>
              </w:tc>
              <w:tc>
                <w:tcPr>
                  <w:tcW w:w="1146" w:type="dxa"/>
                  <w:vAlign w:val="center"/>
                </w:tcPr>
                <w:p>
                  <w:pPr>
                    <w:snapToGrid w:val="0"/>
                    <w:spacing w:line="360" w:lineRule="exact"/>
                    <w:contextualSpacing/>
                    <w:jc w:val="center"/>
                    <w:rPr>
                      <w:color w:val="000000"/>
                      <w:szCs w:val="21"/>
                    </w:rPr>
                  </w:pPr>
                  <w:r>
                    <w:rPr>
                      <w:rFonts w:hint="eastAsia"/>
                      <w:color w:val="000000"/>
                      <w:szCs w:val="21"/>
                    </w:rPr>
                    <w:t>0.015</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5" w:hRule="atLeast"/>
                <w:jc w:val="center"/>
              </w:trPr>
              <w:tc>
                <w:tcPr>
                  <w:tcW w:w="1213" w:type="dxa"/>
                  <w:vMerge w:val="restart"/>
                  <w:vAlign w:val="center"/>
                </w:tcPr>
                <w:p>
                  <w:pPr>
                    <w:snapToGrid w:val="0"/>
                    <w:spacing w:line="360" w:lineRule="exact"/>
                    <w:contextualSpacing/>
                    <w:jc w:val="center"/>
                    <w:rPr>
                      <w:color w:val="000000"/>
                      <w:szCs w:val="21"/>
                    </w:rPr>
                  </w:pPr>
                  <w:r>
                    <w:rPr>
                      <w:rFonts w:hint="eastAsia"/>
                      <w:color w:val="000000"/>
                      <w:szCs w:val="21"/>
                    </w:rPr>
                    <w:t>项目所在地西北方</w:t>
                  </w:r>
                </w:p>
              </w:tc>
              <w:tc>
                <w:tcPr>
                  <w:tcW w:w="1061" w:type="dxa"/>
                  <w:vAlign w:val="center"/>
                </w:tcPr>
                <w:p>
                  <w:pPr>
                    <w:snapToGrid w:val="0"/>
                    <w:spacing w:line="360" w:lineRule="exact"/>
                    <w:contextualSpacing/>
                    <w:jc w:val="center"/>
                    <w:rPr>
                      <w:color w:val="000000"/>
                      <w:szCs w:val="21"/>
                    </w:rPr>
                  </w:pPr>
                  <w:r>
                    <w:rPr>
                      <w:rFonts w:hint="eastAsia"/>
                      <w:color w:val="000000"/>
                      <w:szCs w:val="21"/>
                    </w:rPr>
                    <w:t>PM</w:t>
                  </w:r>
                  <w:r>
                    <w:rPr>
                      <w:rFonts w:hint="eastAsia"/>
                      <w:color w:val="000000"/>
                      <w:szCs w:val="21"/>
                      <w:vertAlign w:val="subscript"/>
                    </w:rPr>
                    <w:t>10</w:t>
                  </w:r>
                </w:p>
              </w:tc>
              <w:tc>
                <w:tcPr>
                  <w:tcW w:w="1146" w:type="dxa"/>
                  <w:vAlign w:val="center"/>
                </w:tcPr>
                <w:p>
                  <w:pPr>
                    <w:spacing w:line="300" w:lineRule="auto"/>
                    <w:jc w:val="center"/>
                    <w:rPr>
                      <w:color w:val="000000"/>
                      <w:szCs w:val="21"/>
                    </w:rPr>
                  </w:pPr>
                  <w:r>
                    <w:rPr>
                      <w:rFonts w:hint="eastAsia" w:eastAsia="宋体"/>
                      <w:szCs w:val="21"/>
                    </w:rPr>
                    <w:t>0.079</w:t>
                  </w:r>
                </w:p>
              </w:tc>
              <w:tc>
                <w:tcPr>
                  <w:tcW w:w="1143" w:type="dxa"/>
                  <w:vAlign w:val="center"/>
                </w:tcPr>
                <w:p>
                  <w:pPr>
                    <w:spacing w:line="300" w:lineRule="auto"/>
                    <w:jc w:val="center"/>
                    <w:rPr>
                      <w:color w:val="000000"/>
                      <w:szCs w:val="21"/>
                    </w:rPr>
                  </w:pPr>
                  <w:r>
                    <w:rPr>
                      <w:rFonts w:hint="eastAsia" w:eastAsia="宋体"/>
                      <w:szCs w:val="21"/>
                    </w:rPr>
                    <w:t>0.072</w:t>
                  </w:r>
                </w:p>
              </w:tc>
              <w:tc>
                <w:tcPr>
                  <w:tcW w:w="1146" w:type="dxa"/>
                  <w:vAlign w:val="center"/>
                </w:tcPr>
                <w:p>
                  <w:pPr>
                    <w:snapToGrid w:val="0"/>
                    <w:spacing w:line="360" w:lineRule="exact"/>
                    <w:contextualSpacing/>
                    <w:jc w:val="center"/>
                    <w:rPr>
                      <w:color w:val="000000"/>
                      <w:szCs w:val="21"/>
                    </w:rPr>
                  </w:pPr>
                  <w:r>
                    <w:rPr>
                      <w:rFonts w:hint="eastAsia"/>
                      <w:color w:val="000000"/>
                      <w:szCs w:val="21"/>
                    </w:rPr>
                    <w:t>0.075</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5"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二氧化氮</w:t>
                  </w:r>
                </w:p>
              </w:tc>
              <w:tc>
                <w:tcPr>
                  <w:tcW w:w="1146" w:type="dxa"/>
                  <w:vAlign w:val="center"/>
                </w:tcPr>
                <w:p>
                  <w:pPr>
                    <w:spacing w:line="300" w:lineRule="auto"/>
                    <w:jc w:val="center"/>
                    <w:rPr>
                      <w:color w:val="000000"/>
                      <w:szCs w:val="21"/>
                    </w:rPr>
                  </w:pPr>
                  <w:r>
                    <w:rPr>
                      <w:rFonts w:hint="eastAsia" w:eastAsia="宋体"/>
                      <w:szCs w:val="21"/>
                    </w:rPr>
                    <w:t>0.014</w:t>
                  </w:r>
                </w:p>
              </w:tc>
              <w:tc>
                <w:tcPr>
                  <w:tcW w:w="1143" w:type="dxa"/>
                  <w:vAlign w:val="center"/>
                </w:tcPr>
                <w:p>
                  <w:pPr>
                    <w:spacing w:line="300" w:lineRule="auto"/>
                    <w:jc w:val="center"/>
                    <w:rPr>
                      <w:color w:val="000000"/>
                      <w:szCs w:val="21"/>
                    </w:rPr>
                  </w:pPr>
                  <w:r>
                    <w:rPr>
                      <w:rFonts w:hint="eastAsia" w:eastAsia="宋体"/>
                      <w:szCs w:val="21"/>
                    </w:rPr>
                    <w:t>0.019</w:t>
                  </w:r>
                </w:p>
              </w:tc>
              <w:tc>
                <w:tcPr>
                  <w:tcW w:w="1146" w:type="dxa"/>
                  <w:vAlign w:val="center"/>
                </w:tcPr>
                <w:p>
                  <w:pPr>
                    <w:snapToGrid w:val="0"/>
                    <w:spacing w:line="360" w:lineRule="exact"/>
                    <w:contextualSpacing/>
                    <w:jc w:val="center"/>
                    <w:rPr>
                      <w:color w:val="000000"/>
                      <w:szCs w:val="21"/>
                    </w:rPr>
                  </w:pPr>
                  <w:r>
                    <w:rPr>
                      <w:rFonts w:hint="eastAsia"/>
                      <w:color w:val="000000"/>
                      <w:szCs w:val="21"/>
                    </w:rPr>
                    <w:t>0.020</w:t>
                  </w:r>
                </w:p>
              </w:tc>
              <w:tc>
                <w:tcPr>
                  <w:tcW w:w="1135" w:type="dxa"/>
                  <w:vAlign w:val="center"/>
                </w:tcPr>
                <w:p>
                  <w:pPr>
                    <w:snapToGrid w:val="0"/>
                    <w:spacing w:line="360" w:lineRule="exact"/>
                    <w:contextualSpacing/>
                    <w:jc w:val="center"/>
                    <w:rPr>
                      <w:color w:val="000000"/>
                      <w:szCs w:val="21"/>
                    </w:rPr>
                  </w:pPr>
                  <w:r>
                    <w:rPr>
                      <w:rFonts w:hint="eastAsia"/>
                      <w:color w:val="000000"/>
                      <w:szCs w:val="21"/>
                    </w:rPr>
                    <w:t>0.08</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9" w:hRule="atLeast"/>
                <w:jc w:val="center"/>
              </w:trPr>
              <w:tc>
                <w:tcPr>
                  <w:tcW w:w="1213" w:type="dxa"/>
                  <w:vMerge w:val="continue"/>
                  <w:vAlign w:val="center"/>
                </w:tcPr>
                <w:p>
                  <w:pPr>
                    <w:snapToGrid w:val="0"/>
                    <w:spacing w:line="360" w:lineRule="exact"/>
                    <w:contextualSpacing/>
                    <w:jc w:val="center"/>
                    <w:rPr>
                      <w:color w:val="000000"/>
                      <w:szCs w:val="21"/>
                    </w:rPr>
                  </w:pPr>
                </w:p>
              </w:tc>
              <w:tc>
                <w:tcPr>
                  <w:tcW w:w="1061" w:type="dxa"/>
                  <w:vAlign w:val="center"/>
                </w:tcPr>
                <w:p>
                  <w:pPr>
                    <w:snapToGrid w:val="0"/>
                    <w:spacing w:line="360" w:lineRule="exact"/>
                    <w:contextualSpacing/>
                    <w:jc w:val="center"/>
                    <w:rPr>
                      <w:color w:val="000000"/>
                      <w:szCs w:val="21"/>
                    </w:rPr>
                  </w:pPr>
                  <w:r>
                    <w:rPr>
                      <w:rFonts w:hint="eastAsia"/>
                      <w:color w:val="000000"/>
                      <w:szCs w:val="21"/>
                    </w:rPr>
                    <w:t>二氧化硫</w:t>
                  </w:r>
                </w:p>
              </w:tc>
              <w:tc>
                <w:tcPr>
                  <w:tcW w:w="1146" w:type="dxa"/>
                  <w:vAlign w:val="center"/>
                </w:tcPr>
                <w:p>
                  <w:pPr>
                    <w:spacing w:line="300" w:lineRule="auto"/>
                    <w:jc w:val="center"/>
                    <w:rPr>
                      <w:color w:val="000000"/>
                      <w:szCs w:val="21"/>
                    </w:rPr>
                  </w:pPr>
                  <w:r>
                    <w:rPr>
                      <w:rFonts w:hint="eastAsia" w:eastAsia="宋体"/>
                      <w:szCs w:val="21"/>
                    </w:rPr>
                    <w:t>0.013</w:t>
                  </w:r>
                </w:p>
              </w:tc>
              <w:tc>
                <w:tcPr>
                  <w:tcW w:w="1143" w:type="dxa"/>
                  <w:vAlign w:val="center"/>
                </w:tcPr>
                <w:p>
                  <w:pPr>
                    <w:spacing w:line="300" w:lineRule="auto"/>
                    <w:jc w:val="center"/>
                    <w:rPr>
                      <w:color w:val="000000"/>
                      <w:szCs w:val="21"/>
                    </w:rPr>
                  </w:pPr>
                  <w:r>
                    <w:rPr>
                      <w:rFonts w:hint="eastAsia" w:eastAsia="宋体"/>
                      <w:szCs w:val="21"/>
                    </w:rPr>
                    <w:t>0.015</w:t>
                  </w:r>
                </w:p>
              </w:tc>
              <w:tc>
                <w:tcPr>
                  <w:tcW w:w="1146" w:type="dxa"/>
                  <w:vAlign w:val="center"/>
                </w:tcPr>
                <w:p>
                  <w:pPr>
                    <w:snapToGrid w:val="0"/>
                    <w:spacing w:line="360" w:lineRule="exact"/>
                    <w:contextualSpacing/>
                    <w:jc w:val="center"/>
                    <w:rPr>
                      <w:color w:val="000000"/>
                      <w:szCs w:val="21"/>
                    </w:rPr>
                  </w:pPr>
                  <w:r>
                    <w:rPr>
                      <w:rFonts w:hint="eastAsia"/>
                      <w:color w:val="000000"/>
                      <w:szCs w:val="21"/>
                    </w:rPr>
                    <w:t>0.015</w:t>
                  </w:r>
                </w:p>
              </w:tc>
              <w:tc>
                <w:tcPr>
                  <w:tcW w:w="1135" w:type="dxa"/>
                  <w:vAlign w:val="center"/>
                </w:tcPr>
                <w:p>
                  <w:pPr>
                    <w:snapToGrid w:val="0"/>
                    <w:spacing w:line="360" w:lineRule="exact"/>
                    <w:contextualSpacing/>
                    <w:jc w:val="center"/>
                    <w:rPr>
                      <w:color w:val="000000"/>
                      <w:szCs w:val="21"/>
                    </w:rPr>
                  </w:pPr>
                  <w:r>
                    <w:rPr>
                      <w:rFonts w:hint="eastAsia"/>
                      <w:color w:val="000000"/>
                      <w:szCs w:val="21"/>
                    </w:rPr>
                    <w:t>0.15</w:t>
                  </w:r>
                </w:p>
              </w:tc>
              <w:tc>
                <w:tcPr>
                  <w:tcW w:w="1119" w:type="dxa"/>
                  <w:vAlign w:val="center"/>
                </w:tcPr>
                <w:p>
                  <w:pPr>
                    <w:snapToGrid w:val="0"/>
                    <w:spacing w:line="360" w:lineRule="exact"/>
                    <w:contextualSpacing/>
                    <w:jc w:val="center"/>
                    <w:rPr>
                      <w:color w:val="000000"/>
                      <w:szCs w:val="21"/>
                    </w:rPr>
                  </w:pPr>
                  <w:r>
                    <w:rPr>
                      <w:rFonts w:hint="eastAsia"/>
                      <w:color w:val="000000"/>
                      <w:szCs w:val="21"/>
                    </w:rPr>
                    <w:t>0</w:t>
                  </w:r>
                </w:p>
              </w:tc>
              <w:tc>
                <w:tcPr>
                  <w:tcW w:w="1108" w:type="dxa"/>
                  <w:vAlign w:val="center"/>
                </w:tcPr>
                <w:p>
                  <w:pPr>
                    <w:snapToGrid w:val="0"/>
                    <w:spacing w:line="360" w:lineRule="exact"/>
                    <w:contextualSpacing/>
                    <w:jc w:val="center"/>
                    <w:rPr>
                      <w:color w:val="000000"/>
                      <w:szCs w:val="21"/>
                    </w:rPr>
                  </w:pPr>
                  <w:r>
                    <w:rPr>
                      <w:rFonts w:hint="eastAsia"/>
                      <w:color w:val="000000"/>
                      <w:szCs w:val="21"/>
                    </w:rPr>
                    <w:t>0</w:t>
                  </w:r>
                </w:p>
              </w:tc>
            </w:tr>
          </w:tbl>
          <w:p>
            <w:pPr>
              <w:snapToGrid w:val="0"/>
              <w:spacing w:line="520" w:lineRule="exact"/>
              <w:ind w:firstLine="462" w:firstLineChars="200"/>
              <w:contextualSpacing/>
              <w:rPr>
                <w:color w:val="000000"/>
                <w:sz w:val="24"/>
                <w:szCs w:val="24"/>
              </w:rPr>
            </w:pPr>
            <w:r>
              <w:rPr>
                <w:color w:val="000000"/>
                <w:sz w:val="24"/>
                <w:szCs w:val="24"/>
              </w:rPr>
              <w:t>由监测结果可知，项目所在地SO</w:t>
            </w:r>
            <w:r>
              <w:rPr>
                <w:color w:val="000000"/>
                <w:sz w:val="24"/>
                <w:szCs w:val="24"/>
                <w:vertAlign w:val="subscript"/>
              </w:rPr>
              <w:t>2</w:t>
            </w:r>
            <w:r>
              <w:rPr>
                <w:color w:val="000000"/>
                <w:sz w:val="24"/>
                <w:szCs w:val="24"/>
              </w:rPr>
              <w:t>、NO</w:t>
            </w:r>
            <w:r>
              <w:rPr>
                <w:color w:val="000000"/>
                <w:sz w:val="24"/>
                <w:szCs w:val="24"/>
                <w:vertAlign w:val="subscript"/>
              </w:rPr>
              <w:t>2</w:t>
            </w:r>
            <w:r>
              <w:rPr>
                <w:color w:val="000000"/>
                <w:sz w:val="24"/>
                <w:szCs w:val="24"/>
              </w:rPr>
              <w:t>、PM</w:t>
            </w:r>
            <w:r>
              <w:rPr>
                <w:color w:val="000000"/>
                <w:sz w:val="24"/>
                <w:szCs w:val="24"/>
                <w:vertAlign w:val="subscript"/>
              </w:rPr>
              <w:t>10</w:t>
            </w:r>
            <w:r>
              <w:rPr>
                <w:color w:val="000000"/>
                <w:sz w:val="24"/>
                <w:szCs w:val="24"/>
              </w:rPr>
              <w:t>均能达到《环境空气质量标准》（GB3095-2012）中的</w:t>
            </w:r>
            <w:r>
              <w:rPr>
                <w:rFonts w:hint="eastAsia"/>
                <w:color w:val="000000"/>
                <w:sz w:val="24"/>
                <w:szCs w:val="24"/>
              </w:rPr>
              <w:t>二</w:t>
            </w:r>
            <w:r>
              <w:rPr>
                <w:color w:val="000000"/>
                <w:sz w:val="24"/>
                <w:szCs w:val="24"/>
              </w:rPr>
              <w:t>级标准要求</w:t>
            </w:r>
            <w:r>
              <w:rPr>
                <w:rFonts w:hint="eastAsia"/>
                <w:color w:val="000000"/>
                <w:sz w:val="24"/>
                <w:szCs w:val="24"/>
              </w:rPr>
              <w:t>。</w:t>
            </w:r>
            <w:bookmarkStart w:id="4" w:name="OLE_LINK15"/>
          </w:p>
          <w:bookmarkEnd w:id="4"/>
          <w:p>
            <w:pPr>
              <w:spacing w:line="520" w:lineRule="exact"/>
              <w:ind w:firstLine="462" w:firstLineChars="200"/>
              <w:rPr>
                <w:b/>
                <w:color w:val="000000"/>
                <w:sz w:val="24"/>
                <w:szCs w:val="24"/>
              </w:rPr>
            </w:pPr>
            <w:r>
              <w:rPr>
                <w:b/>
                <w:color w:val="000000"/>
                <w:sz w:val="24"/>
                <w:szCs w:val="24"/>
              </w:rPr>
              <w:t>2、地表水环境现状调查与评价</w:t>
            </w:r>
          </w:p>
          <w:p>
            <w:pPr>
              <w:spacing w:line="360" w:lineRule="auto"/>
              <w:ind w:firstLine="462" w:firstLineChars="200"/>
              <w:rPr>
                <w:kern w:val="0"/>
                <w:sz w:val="24"/>
                <w:szCs w:val="24"/>
              </w:rPr>
            </w:pPr>
            <w:r>
              <w:rPr>
                <w:color w:val="000000"/>
                <w:sz w:val="24"/>
                <w:szCs w:val="24"/>
              </w:rPr>
              <w:t>本项目污水管网废水最终纳入君山区</w:t>
            </w:r>
            <w:r>
              <w:rPr>
                <w:rFonts w:hint="eastAsia"/>
                <w:color w:val="000000"/>
                <w:sz w:val="24"/>
                <w:szCs w:val="24"/>
              </w:rPr>
              <w:t>污水处理一厂</w:t>
            </w:r>
            <w:r>
              <w:rPr>
                <w:color w:val="000000"/>
                <w:sz w:val="24"/>
                <w:szCs w:val="24"/>
              </w:rPr>
              <w:t>处理后排放至</w:t>
            </w:r>
            <w:r>
              <w:rPr>
                <w:rFonts w:hint="eastAsia"/>
                <w:color w:val="000000"/>
                <w:sz w:val="24"/>
                <w:szCs w:val="24"/>
              </w:rPr>
              <w:t>濠河</w:t>
            </w:r>
            <w:r>
              <w:rPr>
                <w:color w:val="000000"/>
                <w:sz w:val="24"/>
                <w:szCs w:val="24"/>
              </w:rPr>
              <w:t>。</w:t>
            </w:r>
            <w:r>
              <w:rPr>
                <w:rFonts w:hint="eastAsia"/>
                <w:kern w:val="0"/>
                <w:sz w:val="24"/>
                <w:szCs w:val="24"/>
              </w:rPr>
              <w:t>本次环评委托</w:t>
            </w:r>
            <w:r>
              <w:rPr>
                <w:rFonts w:hint="eastAsia"/>
                <w:sz w:val="24"/>
                <w:szCs w:val="24"/>
              </w:rPr>
              <w:t>长沙崇德检测科技有限公司</w:t>
            </w:r>
            <w:r>
              <w:rPr>
                <w:sz w:val="24"/>
                <w:szCs w:val="24"/>
              </w:rPr>
              <w:t>201</w:t>
            </w:r>
            <w:r>
              <w:rPr>
                <w:rFonts w:hint="eastAsia"/>
                <w:sz w:val="24"/>
                <w:szCs w:val="24"/>
              </w:rPr>
              <w:t>8</w:t>
            </w:r>
            <w:r>
              <w:rPr>
                <w:sz w:val="24"/>
                <w:szCs w:val="24"/>
              </w:rPr>
              <w:t>年</w:t>
            </w:r>
            <w:r>
              <w:rPr>
                <w:rFonts w:hint="eastAsia"/>
                <w:sz w:val="24"/>
                <w:szCs w:val="24"/>
              </w:rPr>
              <w:t>5</w:t>
            </w:r>
            <w:r>
              <w:rPr>
                <w:rFonts w:hint="eastAsia" w:cs="宋体"/>
                <w:sz w:val="24"/>
                <w:szCs w:val="24"/>
              </w:rPr>
              <w:t>月17日</w:t>
            </w:r>
            <w:r>
              <w:rPr>
                <w:rFonts w:hint="eastAsia"/>
                <w:kern w:val="0"/>
                <w:sz w:val="24"/>
                <w:szCs w:val="24"/>
              </w:rPr>
              <w:t>-19日</w:t>
            </w:r>
            <w:r>
              <w:rPr>
                <w:rFonts w:hint="eastAsia" w:cs="宋体"/>
                <w:sz w:val="24"/>
                <w:szCs w:val="24"/>
              </w:rPr>
              <w:t>在</w:t>
            </w:r>
            <w:r>
              <w:rPr>
                <w:rFonts w:hint="eastAsia"/>
                <w:sz w:val="24"/>
                <w:szCs w:val="24"/>
              </w:rPr>
              <w:t>项目西侧南干渠水质</w:t>
            </w:r>
            <w:r>
              <w:rPr>
                <w:rFonts w:hint="eastAsia" w:cs="宋体"/>
                <w:sz w:val="24"/>
                <w:szCs w:val="24"/>
              </w:rPr>
              <w:t>进行了现场监测，监测结果见表3-2。</w:t>
            </w:r>
          </w:p>
          <w:p>
            <w:pPr>
              <w:snapToGrid w:val="0"/>
              <w:spacing w:line="520" w:lineRule="exact"/>
              <w:ind w:firstLine="462" w:firstLineChars="200"/>
              <w:contextualSpacing/>
              <w:rPr>
                <w:color w:val="000000"/>
                <w:sz w:val="24"/>
                <w:szCs w:val="24"/>
              </w:rPr>
            </w:pPr>
            <w:r>
              <w:rPr>
                <w:color w:val="000000"/>
                <w:sz w:val="24"/>
                <w:szCs w:val="24"/>
              </w:rPr>
              <w:t>（1）监测点布设</w:t>
            </w:r>
          </w:p>
          <w:p>
            <w:pPr>
              <w:pStyle w:val="7"/>
              <w:adjustRightInd/>
              <w:spacing w:line="520" w:lineRule="exact"/>
              <w:contextualSpacing/>
              <w:jc w:val="center"/>
              <w:rPr>
                <w:rFonts w:eastAsia="宋体"/>
                <w:b/>
                <w:color w:val="000000"/>
              </w:rPr>
            </w:pPr>
            <w:r>
              <w:rPr>
                <w:rFonts w:eastAsia="宋体"/>
                <w:b/>
                <w:color w:val="000000"/>
              </w:rPr>
              <w:t>表</w:t>
            </w:r>
            <w:r>
              <w:rPr>
                <w:rFonts w:hint="eastAsia" w:eastAsia="宋体"/>
                <w:b/>
                <w:color w:val="000000"/>
              </w:rPr>
              <w:t>3</w:t>
            </w:r>
            <w:r>
              <w:rPr>
                <w:rFonts w:eastAsia="宋体"/>
                <w:b/>
                <w:color w:val="000000"/>
              </w:rPr>
              <w:t>-</w:t>
            </w:r>
            <w:r>
              <w:rPr>
                <w:rFonts w:hint="eastAsia" w:eastAsia="宋体"/>
                <w:b/>
                <w:color w:val="000000"/>
              </w:rPr>
              <w:t>2</w:t>
            </w:r>
            <w:r>
              <w:rPr>
                <w:rFonts w:eastAsia="宋体"/>
                <w:b/>
                <w:color w:val="000000"/>
              </w:rPr>
              <w:t xml:space="preserve">  水质现状监测断面</w:t>
            </w:r>
          </w:p>
          <w:tbl>
            <w:tblPr>
              <w:tblStyle w:val="19"/>
              <w:tblW w:w="7980" w:type="dxa"/>
              <w:jc w:val="center"/>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27"/>
              <w:gridCol w:w="1888"/>
              <w:gridCol w:w="1358"/>
              <w:gridCol w:w="390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atLeast"/>
                <w:tblHeader/>
                <w:jc w:val="center"/>
              </w:trPr>
              <w:tc>
                <w:tcPr>
                  <w:tcW w:w="827" w:type="dxa"/>
                  <w:tcBorders>
                    <w:tl2br w:val="nil"/>
                    <w:tr2bl w:val="nil"/>
                  </w:tcBorders>
                  <w:vAlign w:val="center"/>
                </w:tcPr>
                <w:p>
                  <w:pPr>
                    <w:snapToGrid w:val="0"/>
                    <w:spacing w:line="360" w:lineRule="exact"/>
                    <w:contextualSpacing/>
                    <w:jc w:val="center"/>
                    <w:rPr>
                      <w:szCs w:val="21"/>
                    </w:rPr>
                  </w:pPr>
                  <w:r>
                    <w:rPr>
                      <w:szCs w:val="21"/>
                    </w:rPr>
                    <w:t>编号</w:t>
                  </w:r>
                </w:p>
              </w:tc>
              <w:tc>
                <w:tcPr>
                  <w:tcW w:w="1888" w:type="dxa"/>
                  <w:tcBorders>
                    <w:tl2br w:val="nil"/>
                    <w:tr2bl w:val="nil"/>
                  </w:tcBorders>
                  <w:vAlign w:val="center"/>
                </w:tcPr>
                <w:p>
                  <w:pPr>
                    <w:snapToGrid w:val="0"/>
                    <w:spacing w:line="360" w:lineRule="exact"/>
                    <w:contextualSpacing/>
                    <w:jc w:val="center"/>
                    <w:rPr>
                      <w:szCs w:val="21"/>
                    </w:rPr>
                  </w:pPr>
                  <w:r>
                    <w:rPr>
                      <w:szCs w:val="21"/>
                    </w:rPr>
                    <w:t>位置</w:t>
                  </w:r>
                </w:p>
              </w:tc>
              <w:tc>
                <w:tcPr>
                  <w:tcW w:w="1358" w:type="dxa"/>
                  <w:tcBorders>
                    <w:tl2br w:val="nil"/>
                    <w:tr2bl w:val="nil"/>
                  </w:tcBorders>
                  <w:vAlign w:val="center"/>
                </w:tcPr>
                <w:p>
                  <w:pPr>
                    <w:snapToGrid w:val="0"/>
                    <w:spacing w:line="360" w:lineRule="exact"/>
                    <w:contextualSpacing/>
                    <w:jc w:val="center"/>
                    <w:rPr>
                      <w:szCs w:val="21"/>
                    </w:rPr>
                  </w:pPr>
                  <w:r>
                    <w:rPr>
                      <w:szCs w:val="21"/>
                    </w:rPr>
                    <w:t>所属河流</w:t>
                  </w:r>
                </w:p>
              </w:tc>
              <w:tc>
                <w:tcPr>
                  <w:tcW w:w="3907" w:type="dxa"/>
                  <w:tcBorders>
                    <w:tl2br w:val="nil"/>
                    <w:tr2bl w:val="nil"/>
                  </w:tcBorders>
                  <w:vAlign w:val="center"/>
                </w:tcPr>
                <w:p>
                  <w:pPr>
                    <w:snapToGrid w:val="0"/>
                    <w:spacing w:line="360" w:lineRule="exact"/>
                    <w:contextualSpacing/>
                    <w:jc w:val="center"/>
                    <w:rPr>
                      <w:szCs w:val="21"/>
                    </w:rPr>
                  </w:pPr>
                  <w:r>
                    <w:rPr>
                      <w:szCs w:val="21"/>
                    </w:rPr>
                    <w:t>评价标准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740" w:hRule="atLeast"/>
                <w:jc w:val="center"/>
              </w:trPr>
              <w:tc>
                <w:tcPr>
                  <w:tcW w:w="827" w:type="dxa"/>
                  <w:tcBorders>
                    <w:tl2br w:val="nil"/>
                    <w:tr2bl w:val="nil"/>
                  </w:tcBorders>
                  <w:vAlign w:val="center"/>
                </w:tcPr>
                <w:p>
                  <w:pPr>
                    <w:snapToGrid w:val="0"/>
                    <w:spacing w:line="360" w:lineRule="exact"/>
                    <w:contextualSpacing/>
                    <w:jc w:val="center"/>
                    <w:rPr>
                      <w:szCs w:val="21"/>
                    </w:rPr>
                  </w:pPr>
                  <w:r>
                    <w:rPr>
                      <w:rFonts w:hint="eastAsia"/>
                      <w:szCs w:val="21"/>
                    </w:rPr>
                    <w:t>SW1</w:t>
                  </w:r>
                </w:p>
              </w:tc>
              <w:tc>
                <w:tcPr>
                  <w:tcW w:w="1888" w:type="dxa"/>
                  <w:tcBorders>
                    <w:tl2br w:val="nil"/>
                    <w:tr2bl w:val="nil"/>
                  </w:tcBorders>
                  <w:vAlign w:val="center"/>
                </w:tcPr>
                <w:p>
                  <w:pPr>
                    <w:snapToGrid w:val="0"/>
                    <w:spacing w:line="360" w:lineRule="exact"/>
                    <w:contextualSpacing/>
                    <w:jc w:val="center"/>
                    <w:rPr>
                      <w:szCs w:val="21"/>
                    </w:rPr>
                  </w:pPr>
                  <w:r>
                    <w:rPr>
                      <w:rFonts w:hint="eastAsia"/>
                      <w:bCs/>
                      <w:szCs w:val="21"/>
                    </w:rPr>
                    <w:t>南干渠上游500m断面</w:t>
                  </w:r>
                </w:p>
              </w:tc>
              <w:tc>
                <w:tcPr>
                  <w:tcW w:w="1358" w:type="dxa"/>
                  <w:tcBorders>
                    <w:tl2br w:val="nil"/>
                    <w:tr2bl w:val="nil"/>
                  </w:tcBorders>
                  <w:vAlign w:val="center"/>
                </w:tcPr>
                <w:p>
                  <w:pPr>
                    <w:snapToGrid w:val="0"/>
                    <w:spacing w:line="360" w:lineRule="exact"/>
                    <w:contextualSpacing/>
                    <w:jc w:val="center"/>
                    <w:rPr>
                      <w:szCs w:val="21"/>
                    </w:rPr>
                  </w:pPr>
                  <w:r>
                    <w:rPr>
                      <w:rFonts w:hint="eastAsia"/>
                      <w:szCs w:val="21"/>
                    </w:rPr>
                    <w:t>南干渠</w:t>
                  </w:r>
                </w:p>
              </w:tc>
              <w:tc>
                <w:tcPr>
                  <w:tcW w:w="3907" w:type="dxa"/>
                  <w:vMerge w:val="restart"/>
                  <w:tcBorders>
                    <w:tl2br w:val="nil"/>
                    <w:tr2bl w:val="nil"/>
                  </w:tcBorders>
                  <w:vAlign w:val="center"/>
                </w:tcPr>
                <w:p>
                  <w:pPr>
                    <w:snapToGrid w:val="0"/>
                    <w:spacing w:line="360" w:lineRule="exact"/>
                    <w:contextualSpacing/>
                    <w:jc w:val="center"/>
                    <w:rPr>
                      <w:szCs w:val="21"/>
                    </w:rPr>
                  </w:pPr>
                  <w:r>
                    <w:rPr>
                      <w:szCs w:val="21"/>
                    </w:rPr>
                    <w:t>《农田灌溉水质标准》（GB5084-2005）和《地表水环境质量标准》（GB3838-2002）中</w:t>
                  </w:r>
                  <w:r>
                    <w:rPr>
                      <w:rFonts w:hint="eastAsia"/>
                      <w:szCs w:val="21"/>
                    </w:rPr>
                    <w:t>Ⅴ</w:t>
                  </w:r>
                  <w:r>
                    <w:rPr>
                      <w:szCs w:val="21"/>
                    </w:rPr>
                    <w:t>类标准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Ex>
              <w:trPr>
                <w:trHeight w:val="760" w:hRule="atLeast"/>
                <w:jc w:val="center"/>
              </w:trPr>
              <w:tc>
                <w:tcPr>
                  <w:tcW w:w="827" w:type="dxa"/>
                  <w:tcBorders>
                    <w:tl2br w:val="nil"/>
                    <w:tr2bl w:val="nil"/>
                  </w:tcBorders>
                  <w:vAlign w:val="center"/>
                </w:tcPr>
                <w:p>
                  <w:pPr>
                    <w:snapToGrid w:val="0"/>
                    <w:spacing w:line="360" w:lineRule="exact"/>
                    <w:contextualSpacing/>
                    <w:jc w:val="center"/>
                    <w:rPr>
                      <w:szCs w:val="21"/>
                    </w:rPr>
                  </w:pPr>
                  <w:r>
                    <w:rPr>
                      <w:rFonts w:hint="eastAsia"/>
                      <w:szCs w:val="21"/>
                    </w:rPr>
                    <w:t>SW2</w:t>
                  </w:r>
                </w:p>
              </w:tc>
              <w:tc>
                <w:tcPr>
                  <w:tcW w:w="1888" w:type="dxa"/>
                  <w:tcBorders>
                    <w:tl2br w:val="nil"/>
                    <w:tr2bl w:val="nil"/>
                  </w:tcBorders>
                  <w:vAlign w:val="center"/>
                </w:tcPr>
                <w:p>
                  <w:pPr>
                    <w:snapToGrid w:val="0"/>
                    <w:spacing w:line="360" w:lineRule="exact"/>
                    <w:contextualSpacing/>
                    <w:jc w:val="center"/>
                    <w:rPr>
                      <w:szCs w:val="21"/>
                    </w:rPr>
                  </w:pPr>
                  <w:r>
                    <w:rPr>
                      <w:rFonts w:hint="eastAsia"/>
                      <w:bCs/>
                      <w:szCs w:val="21"/>
                    </w:rPr>
                    <w:t>南干渠下游1000m断面</w:t>
                  </w:r>
                </w:p>
              </w:tc>
              <w:tc>
                <w:tcPr>
                  <w:tcW w:w="1358" w:type="dxa"/>
                  <w:tcBorders>
                    <w:tl2br w:val="nil"/>
                    <w:tr2bl w:val="nil"/>
                  </w:tcBorders>
                  <w:vAlign w:val="center"/>
                </w:tcPr>
                <w:p>
                  <w:pPr>
                    <w:snapToGrid w:val="0"/>
                    <w:spacing w:line="360" w:lineRule="exact"/>
                    <w:contextualSpacing/>
                    <w:jc w:val="center"/>
                    <w:rPr>
                      <w:szCs w:val="21"/>
                    </w:rPr>
                  </w:pPr>
                  <w:r>
                    <w:rPr>
                      <w:rFonts w:hint="eastAsia"/>
                      <w:szCs w:val="21"/>
                    </w:rPr>
                    <w:t>南干渠</w:t>
                  </w:r>
                </w:p>
              </w:tc>
              <w:tc>
                <w:tcPr>
                  <w:tcW w:w="3907" w:type="dxa"/>
                  <w:vMerge w:val="continue"/>
                  <w:tcBorders>
                    <w:tl2br w:val="nil"/>
                    <w:tr2bl w:val="nil"/>
                  </w:tcBorders>
                  <w:vAlign w:val="center"/>
                </w:tcPr>
                <w:p>
                  <w:pPr>
                    <w:pStyle w:val="22"/>
                    <w:adjustRightInd/>
                    <w:spacing w:line="360" w:lineRule="exact"/>
                    <w:contextualSpacing/>
                    <w:rPr>
                      <w:color w:val="FF0000"/>
                      <w:szCs w:val="21"/>
                    </w:rPr>
                  </w:pPr>
                </w:p>
              </w:tc>
            </w:tr>
          </w:tbl>
          <w:p>
            <w:pPr>
              <w:spacing w:line="520" w:lineRule="exact"/>
              <w:ind w:firstLine="462" w:firstLineChars="200"/>
              <w:rPr>
                <w:color w:val="000000"/>
                <w:sz w:val="24"/>
                <w:szCs w:val="24"/>
              </w:rPr>
            </w:pPr>
            <w:r>
              <w:rPr>
                <w:rFonts w:hint="eastAsia"/>
                <w:color w:val="000000"/>
                <w:sz w:val="24"/>
                <w:szCs w:val="24"/>
              </w:rPr>
              <w:t>（2）监测因子</w:t>
            </w:r>
          </w:p>
          <w:p>
            <w:pPr>
              <w:spacing w:line="520" w:lineRule="exact"/>
              <w:ind w:firstLine="462" w:firstLineChars="200"/>
              <w:rPr>
                <w:color w:val="000000"/>
                <w:sz w:val="24"/>
                <w:szCs w:val="24"/>
              </w:rPr>
            </w:pPr>
            <w:r>
              <w:rPr>
                <w:color w:val="000000"/>
                <w:sz w:val="24"/>
                <w:szCs w:val="24"/>
              </w:rPr>
              <w:t>pH、SS、COD</w:t>
            </w:r>
            <w:r>
              <w:rPr>
                <w:color w:val="000000"/>
                <w:sz w:val="24"/>
                <w:szCs w:val="24"/>
                <w:vertAlign w:val="subscript"/>
              </w:rPr>
              <w:t>Cr</w:t>
            </w:r>
            <w:r>
              <w:rPr>
                <w:color w:val="000000"/>
                <w:sz w:val="24"/>
                <w:szCs w:val="24"/>
              </w:rPr>
              <w:t>、BOD</w:t>
            </w:r>
            <w:r>
              <w:rPr>
                <w:color w:val="000000"/>
                <w:sz w:val="24"/>
                <w:szCs w:val="24"/>
                <w:vertAlign w:val="subscript"/>
              </w:rPr>
              <w:t>5</w:t>
            </w:r>
            <w:r>
              <w:rPr>
                <w:color w:val="000000"/>
                <w:sz w:val="24"/>
                <w:szCs w:val="24"/>
              </w:rPr>
              <w:t>、氨氮、石油类、总磷7项。</w:t>
            </w:r>
          </w:p>
          <w:p>
            <w:pPr>
              <w:spacing w:line="520" w:lineRule="exact"/>
              <w:ind w:firstLine="462" w:firstLineChars="200"/>
              <w:rPr>
                <w:color w:val="000000"/>
                <w:sz w:val="24"/>
                <w:szCs w:val="24"/>
              </w:rPr>
            </w:pPr>
            <w:r>
              <w:rPr>
                <w:rFonts w:hint="eastAsia"/>
                <w:color w:val="000000"/>
                <w:sz w:val="24"/>
                <w:szCs w:val="24"/>
              </w:rPr>
              <w:t>（3）采样时间、频率</w:t>
            </w:r>
          </w:p>
          <w:p>
            <w:pPr>
              <w:spacing w:line="520" w:lineRule="exact"/>
              <w:ind w:firstLine="462" w:firstLineChars="200"/>
              <w:rPr>
                <w:color w:val="000000"/>
                <w:sz w:val="24"/>
                <w:szCs w:val="24"/>
              </w:rPr>
            </w:pPr>
            <w:r>
              <w:rPr>
                <w:rFonts w:hint="eastAsia"/>
                <w:color w:val="000000"/>
                <w:sz w:val="24"/>
                <w:szCs w:val="24"/>
              </w:rPr>
              <w:t>监测时间为2018年5月17~5月19日，连续监测3天，每天1次。</w:t>
            </w:r>
          </w:p>
          <w:p>
            <w:pPr>
              <w:spacing w:line="520" w:lineRule="exact"/>
              <w:ind w:firstLine="462" w:firstLineChars="200"/>
              <w:rPr>
                <w:color w:val="000000"/>
                <w:sz w:val="24"/>
                <w:szCs w:val="24"/>
              </w:rPr>
            </w:pPr>
            <w:r>
              <w:rPr>
                <w:rFonts w:hint="eastAsia"/>
                <w:color w:val="000000"/>
                <w:sz w:val="24"/>
                <w:szCs w:val="24"/>
              </w:rPr>
              <w:t>（4）监测结果统计与评价</w:t>
            </w:r>
          </w:p>
          <w:p>
            <w:pPr>
              <w:spacing w:line="520" w:lineRule="exact"/>
              <w:ind w:firstLine="462" w:firstLineChars="200"/>
              <w:rPr>
                <w:b/>
                <w:color w:val="000000"/>
              </w:rPr>
            </w:pPr>
            <w:r>
              <w:rPr>
                <w:color w:val="000000"/>
                <w:sz w:val="24"/>
                <w:szCs w:val="24"/>
              </w:rPr>
              <w:t>现状监测结果及评价结论见表</w:t>
            </w:r>
            <w:r>
              <w:rPr>
                <w:rFonts w:hint="eastAsia"/>
                <w:color w:val="000000"/>
                <w:sz w:val="24"/>
                <w:szCs w:val="24"/>
              </w:rPr>
              <w:t>3</w:t>
            </w:r>
            <w:r>
              <w:rPr>
                <w:color w:val="000000"/>
                <w:sz w:val="24"/>
                <w:szCs w:val="24"/>
              </w:rPr>
              <w:t>-</w:t>
            </w:r>
            <w:r>
              <w:rPr>
                <w:rFonts w:hint="eastAsia"/>
                <w:color w:val="000000"/>
                <w:sz w:val="24"/>
                <w:szCs w:val="24"/>
              </w:rPr>
              <w:t>3</w:t>
            </w:r>
            <w:r>
              <w:rPr>
                <w:color w:val="000000"/>
                <w:sz w:val="24"/>
                <w:szCs w:val="24"/>
              </w:rPr>
              <w:t>。</w:t>
            </w:r>
          </w:p>
          <w:p>
            <w:pPr>
              <w:pStyle w:val="5"/>
              <w:spacing w:beforeLines="0" w:line="520" w:lineRule="exact"/>
              <w:ind w:left="482" w:firstLine="0" w:firstLineChars="0"/>
              <w:jc w:val="center"/>
              <w:rPr>
                <w:color w:val="000000"/>
              </w:rPr>
            </w:pPr>
            <w:r>
              <w:rPr>
                <w:b/>
                <w:color w:val="000000"/>
              </w:rPr>
              <w:t>表</w:t>
            </w:r>
            <w:r>
              <w:rPr>
                <w:rFonts w:hint="eastAsia"/>
                <w:b/>
                <w:color w:val="000000"/>
              </w:rPr>
              <w:t>3</w:t>
            </w:r>
            <w:r>
              <w:rPr>
                <w:b/>
                <w:color w:val="000000"/>
              </w:rPr>
              <w:t>-</w:t>
            </w:r>
            <w:r>
              <w:rPr>
                <w:rFonts w:hint="eastAsia"/>
                <w:b/>
                <w:color w:val="000000"/>
              </w:rPr>
              <w:t>3</w:t>
            </w:r>
            <w:r>
              <w:rPr>
                <w:b/>
                <w:color w:val="000000"/>
              </w:rPr>
              <w:t xml:space="preserve">  </w:t>
            </w:r>
            <w:r>
              <w:rPr>
                <w:rFonts w:hint="eastAsia"/>
                <w:b/>
                <w:color w:val="000000"/>
              </w:rPr>
              <w:t xml:space="preserve"> </w:t>
            </w:r>
            <w:r>
              <w:rPr>
                <w:b/>
                <w:color w:val="000000"/>
              </w:rPr>
              <w:t xml:space="preserve">水质现状监测及评价结果   </w:t>
            </w:r>
          </w:p>
          <w:tbl>
            <w:tblPr>
              <w:tblStyle w:val="19"/>
              <w:tblW w:w="876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185"/>
              <w:gridCol w:w="1500"/>
              <w:gridCol w:w="1740"/>
              <w:gridCol w:w="1215"/>
              <w:gridCol w:w="1335"/>
              <w:gridCol w:w="10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blHeader/>
                <w:jc w:val="center"/>
              </w:trPr>
              <w:tc>
                <w:tcPr>
                  <w:tcW w:w="715" w:type="dxa"/>
                  <w:vMerge w:val="restart"/>
                  <w:tcBorders>
                    <w:tl2br w:val="nil"/>
                    <w:tr2bl w:val="nil"/>
                  </w:tcBorders>
                  <w:vAlign w:val="center"/>
                </w:tcPr>
                <w:p>
                  <w:pPr>
                    <w:jc w:val="center"/>
                    <w:rPr>
                      <w:bCs/>
                      <w:szCs w:val="21"/>
                    </w:rPr>
                  </w:pPr>
                  <w:r>
                    <w:rPr>
                      <w:rFonts w:hint="eastAsia"/>
                      <w:bCs/>
                      <w:szCs w:val="21"/>
                    </w:rPr>
                    <w:t>采样时间</w:t>
                  </w:r>
                </w:p>
              </w:tc>
              <w:tc>
                <w:tcPr>
                  <w:tcW w:w="1185" w:type="dxa"/>
                  <w:vMerge w:val="restart"/>
                  <w:tcBorders>
                    <w:tl2br w:val="nil"/>
                    <w:tr2bl w:val="nil"/>
                  </w:tcBorders>
                  <w:vAlign w:val="center"/>
                </w:tcPr>
                <w:p>
                  <w:pPr>
                    <w:jc w:val="center"/>
                    <w:rPr>
                      <w:bCs/>
                      <w:szCs w:val="21"/>
                    </w:rPr>
                  </w:pPr>
                  <w:r>
                    <w:rPr>
                      <w:rFonts w:hint="eastAsia"/>
                      <w:bCs/>
                      <w:szCs w:val="21"/>
                    </w:rPr>
                    <w:t>检测因子</w:t>
                  </w:r>
                </w:p>
              </w:tc>
              <w:tc>
                <w:tcPr>
                  <w:tcW w:w="3240" w:type="dxa"/>
                  <w:gridSpan w:val="2"/>
                  <w:tcBorders>
                    <w:tl2br w:val="nil"/>
                    <w:tr2bl w:val="nil"/>
                  </w:tcBorders>
                  <w:vAlign w:val="center"/>
                </w:tcPr>
                <w:p>
                  <w:pPr>
                    <w:pStyle w:val="5"/>
                    <w:spacing w:beforeLines="0" w:line="520" w:lineRule="exact"/>
                    <w:ind w:firstLine="0" w:firstLineChars="0"/>
                    <w:rPr>
                      <w:color w:val="000000"/>
                    </w:rPr>
                  </w:pPr>
                  <w:r>
                    <w:rPr>
                      <w:rFonts w:hint="eastAsia"/>
                      <w:bCs/>
                      <w:szCs w:val="21"/>
                    </w:rPr>
                    <w:t>浓度范围</w:t>
                  </w:r>
                  <w:r>
                    <w:rPr>
                      <w:color w:val="000000"/>
                    </w:rPr>
                    <w:t>mg/L（pH除外）</w:t>
                  </w:r>
                </w:p>
                <w:p>
                  <w:pPr>
                    <w:jc w:val="center"/>
                    <w:rPr>
                      <w:bCs/>
                      <w:szCs w:val="21"/>
                    </w:rPr>
                  </w:pPr>
                </w:p>
              </w:tc>
              <w:tc>
                <w:tcPr>
                  <w:tcW w:w="1215" w:type="dxa"/>
                  <w:vMerge w:val="restart"/>
                  <w:tcBorders>
                    <w:tl2br w:val="nil"/>
                    <w:tr2bl w:val="nil"/>
                  </w:tcBorders>
                  <w:vAlign w:val="center"/>
                </w:tcPr>
                <w:p>
                  <w:pPr>
                    <w:jc w:val="center"/>
                    <w:rPr>
                      <w:bCs/>
                      <w:szCs w:val="21"/>
                    </w:rPr>
                  </w:pPr>
                  <w:r>
                    <w:rPr>
                      <w:rFonts w:hint="eastAsia"/>
                      <w:bCs/>
                      <w:szCs w:val="21"/>
                    </w:rPr>
                    <w:t>超标率</w:t>
                  </w:r>
                  <w:r>
                    <w:rPr>
                      <w:color w:val="000000"/>
                      <w:szCs w:val="21"/>
                    </w:rPr>
                    <w:t>（%）</w:t>
                  </w:r>
                </w:p>
              </w:tc>
              <w:tc>
                <w:tcPr>
                  <w:tcW w:w="1335" w:type="dxa"/>
                  <w:vMerge w:val="restart"/>
                  <w:tcBorders>
                    <w:tl2br w:val="nil"/>
                    <w:tr2bl w:val="nil"/>
                  </w:tcBorders>
                  <w:vAlign w:val="center"/>
                </w:tcPr>
                <w:p>
                  <w:pPr>
                    <w:jc w:val="center"/>
                    <w:rPr>
                      <w:bCs/>
                      <w:szCs w:val="21"/>
                    </w:rPr>
                  </w:pPr>
                  <w:r>
                    <w:rPr>
                      <w:rFonts w:hint="eastAsia"/>
                      <w:bCs/>
                      <w:szCs w:val="21"/>
                    </w:rPr>
                    <w:t>最大超标倍数</w:t>
                  </w:r>
                  <w:r>
                    <w:rPr>
                      <w:color w:val="000000"/>
                      <w:szCs w:val="21"/>
                    </w:rPr>
                    <w:t>（倍）</w:t>
                  </w:r>
                </w:p>
              </w:tc>
              <w:tc>
                <w:tcPr>
                  <w:tcW w:w="1070" w:type="dxa"/>
                  <w:vMerge w:val="restart"/>
                  <w:tcBorders>
                    <w:tl2br w:val="nil"/>
                    <w:tr2bl w:val="nil"/>
                  </w:tcBorders>
                  <w:vAlign w:val="center"/>
                </w:tcPr>
                <w:p>
                  <w:pPr>
                    <w:jc w:val="center"/>
                    <w:rPr>
                      <w:bCs/>
                      <w:szCs w:val="21"/>
                    </w:rPr>
                  </w:pPr>
                  <w:r>
                    <w:rPr>
                      <w:rFonts w:hint="eastAsia"/>
                      <w:bCs/>
                      <w:szCs w:val="21"/>
                    </w:rPr>
                    <w:t>评价标准</w:t>
                  </w:r>
                  <w:r>
                    <w:rPr>
                      <w:color w:val="000000"/>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blHeader/>
                <w:jc w:val="center"/>
              </w:trPr>
              <w:tc>
                <w:tcPr>
                  <w:tcW w:w="715" w:type="dxa"/>
                  <w:vMerge w:val="continue"/>
                  <w:tcBorders>
                    <w:tl2br w:val="nil"/>
                    <w:tr2bl w:val="nil"/>
                  </w:tcBorders>
                  <w:vAlign w:val="center"/>
                </w:tcPr>
                <w:p>
                  <w:pPr>
                    <w:jc w:val="center"/>
                    <w:rPr>
                      <w:bCs/>
                      <w:szCs w:val="21"/>
                    </w:rPr>
                  </w:pPr>
                </w:p>
              </w:tc>
              <w:tc>
                <w:tcPr>
                  <w:tcW w:w="1185" w:type="dxa"/>
                  <w:vMerge w:val="continue"/>
                  <w:tcBorders>
                    <w:tl2br w:val="nil"/>
                    <w:tr2bl w:val="nil"/>
                  </w:tcBorders>
                  <w:vAlign w:val="center"/>
                </w:tcPr>
                <w:p>
                  <w:pPr>
                    <w:jc w:val="center"/>
                    <w:rPr>
                      <w:bCs/>
                      <w:szCs w:val="21"/>
                    </w:rPr>
                  </w:pPr>
                </w:p>
              </w:tc>
              <w:tc>
                <w:tcPr>
                  <w:tcW w:w="1500" w:type="dxa"/>
                  <w:tcBorders>
                    <w:tl2br w:val="nil"/>
                    <w:tr2bl w:val="nil"/>
                  </w:tcBorders>
                  <w:vAlign w:val="center"/>
                </w:tcPr>
                <w:p>
                  <w:pPr>
                    <w:jc w:val="center"/>
                    <w:rPr>
                      <w:bCs/>
                      <w:szCs w:val="21"/>
                    </w:rPr>
                  </w:pPr>
                  <w:r>
                    <w:rPr>
                      <w:rFonts w:hint="eastAsia"/>
                      <w:bCs/>
                      <w:szCs w:val="21"/>
                    </w:rPr>
                    <w:t>南干渠上游500m断面</w:t>
                  </w:r>
                </w:p>
              </w:tc>
              <w:tc>
                <w:tcPr>
                  <w:tcW w:w="1740" w:type="dxa"/>
                  <w:tcBorders>
                    <w:tl2br w:val="nil"/>
                    <w:tr2bl w:val="nil"/>
                  </w:tcBorders>
                  <w:vAlign w:val="center"/>
                </w:tcPr>
                <w:p>
                  <w:pPr>
                    <w:jc w:val="center"/>
                    <w:rPr>
                      <w:bCs/>
                      <w:szCs w:val="21"/>
                    </w:rPr>
                  </w:pPr>
                  <w:r>
                    <w:rPr>
                      <w:rFonts w:hint="eastAsia"/>
                      <w:bCs/>
                      <w:szCs w:val="21"/>
                    </w:rPr>
                    <w:t>南干渠下游1000m断面</w:t>
                  </w:r>
                </w:p>
              </w:tc>
              <w:tc>
                <w:tcPr>
                  <w:tcW w:w="1215" w:type="dxa"/>
                  <w:vMerge w:val="continue"/>
                  <w:tcBorders>
                    <w:tl2br w:val="nil"/>
                    <w:tr2bl w:val="nil"/>
                  </w:tcBorders>
                  <w:vAlign w:val="center"/>
                </w:tcPr>
                <w:p>
                  <w:pPr>
                    <w:jc w:val="center"/>
                    <w:rPr>
                      <w:bCs/>
                      <w:szCs w:val="21"/>
                    </w:rPr>
                  </w:pPr>
                </w:p>
              </w:tc>
              <w:tc>
                <w:tcPr>
                  <w:tcW w:w="1335" w:type="dxa"/>
                  <w:vMerge w:val="continue"/>
                  <w:tcBorders>
                    <w:tl2br w:val="nil"/>
                    <w:tr2bl w:val="nil"/>
                  </w:tcBorders>
                  <w:vAlign w:val="center"/>
                </w:tcPr>
                <w:p>
                  <w:pPr>
                    <w:jc w:val="center"/>
                    <w:rPr>
                      <w:bCs/>
                      <w:szCs w:val="21"/>
                    </w:rPr>
                  </w:pPr>
                </w:p>
              </w:tc>
              <w:tc>
                <w:tcPr>
                  <w:tcW w:w="1070" w:type="dxa"/>
                  <w:vMerge w:val="continue"/>
                  <w:tcBorders>
                    <w:tl2br w:val="nil"/>
                    <w:tr2bl w:val="nil"/>
                  </w:tcBorders>
                  <w:vAlign w:val="center"/>
                </w:tcPr>
                <w:p>
                  <w:pPr>
                    <w:jc w:val="center"/>
                    <w:rPr>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restart"/>
                  <w:tcBorders>
                    <w:tl2br w:val="nil"/>
                    <w:tr2bl w:val="nil"/>
                  </w:tcBorders>
                  <w:vAlign w:val="center"/>
                </w:tcPr>
                <w:p>
                  <w:pPr>
                    <w:jc w:val="center"/>
                    <w:rPr>
                      <w:szCs w:val="21"/>
                    </w:rPr>
                  </w:pPr>
                  <w:r>
                    <w:rPr>
                      <w:rFonts w:hint="eastAsia"/>
                      <w:szCs w:val="21"/>
                    </w:rPr>
                    <w:t>5月</w:t>
                  </w:r>
                </w:p>
                <w:p>
                  <w:pPr>
                    <w:jc w:val="center"/>
                  </w:pPr>
                  <w:r>
                    <w:rPr>
                      <w:rFonts w:hint="eastAsia"/>
                      <w:szCs w:val="21"/>
                    </w:rPr>
                    <w:t>17日</w:t>
                  </w:r>
                </w:p>
              </w:tc>
              <w:tc>
                <w:tcPr>
                  <w:tcW w:w="1185" w:type="dxa"/>
                  <w:tcBorders>
                    <w:tl2br w:val="nil"/>
                    <w:tr2bl w:val="nil"/>
                  </w:tcBorders>
                  <w:vAlign w:val="center"/>
                </w:tcPr>
                <w:p>
                  <w:pPr>
                    <w:jc w:val="center"/>
                    <w:rPr>
                      <w:bCs/>
                      <w:szCs w:val="21"/>
                    </w:rPr>
                  </w:pPr>
                  <w:r>
                    <w:rPr>
                      <w:rFonts w:hint="eastAsia"/>
                    </w:rPr>
                    <w:t>pH（无量纲）</w:t>
                  </w:r>
                </w:p>
              </w:tc>
              <w:tc>
                <w:tcPr>
                  <w:tcW w:w="1500" w:type="dxa"/>
                  <w:tcBorders>
                    <w:tl2br w:val="nil"/>
                    <w:tr2bl w:val="nil"/>
                  </w:tcBorders>
                  <w:vAlign w:val="center"/>
                </w:tcPr>
                <w:p>
                  <w:pPr>
                    <w:jc w:val="center"/>
                    <w:rPr>
                      <w:rFonts w:eastAsia="宋体"/>
                      <w:bCs/>
                      <w:szCs w:val="21"/>
                    </w:rPr>
                  </w:pPr>
                  <w:r>
                    <w:rPr>
                      <w:rFonts w:hint="eastAsia" w:eastAsia="宋体"/>
                      <w:bCs/>
                      <w:szCs w:val="21"/>
                    </w:rPr>
                    <w:t>7.64</w:t>
                  </w:r>
                </w:p>
              </w:tc>
              <w:tc>
                <w:tcPr>
                  <w:tcW w:w="1740" w:type="dxa"/>
                  <w:tcBorders>
                    <w:tl2br w:val="nil"/>
                    <w:tr2bl w:val="nil"/>
                  </w:tcBorders>
                  <w:vAlign w:val="center"/>
                </w:tcPr>
                <w:p>
                  <w:pPr>
                    <w:jc w:val="center"/>
                    <w:rPr>
                      <w:rFonts w:eastAsia="宋体"/>
                      <w:bCs/>
                      <w:szCs w:val="21"/>
                    </w:rPr>
                  </w:pPr>
                  <w:r>
                    <w:rPr>
                      <w:rFonts w:hint="eastAsia" w:eastAsia="宋体"/>
                      <w:bCs/>
                      <w:szCs w:val="21"/>
                    </w:rPr>
                    <w:t>7.71</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氨氮</w:t>
                  </w:r>
                </w:p>
              </w:tc>
              <w:tc>
                <w:tcPr>
                  <w:tcW w:w="1500" w:type="dxa"/>
                  <w:tcBorders>
                    <w:tl2br w:val="nil"/>
                    <w:tr2bl w:val="nil"/>
                  </w:tcBorders>
                  <w:vAlign w:val="center"/>
                </w:tcPr>
                <w:p>
                  <w:pPr>
                    <w:jc w:val="center"/>
                    <w:rPr>
                      <w:rFonts w:eastAsia="宋体"/>
                      <w:szCs w:val="21"/>
                    </w:rPr>
                  </w:pPr>
                  <w:r>
                    <w:rPr>
                      <w:rFonts w:hint="eastAsia" w:eastAsia="宋体"/>
                      <w:szCs w:val="21"/>
                    </w:rPr>
                    <w:t>0.088</w:t>
                  </w:r>
                </w:p>
              </w:tc>
              <w:tc>
                <w:tcPr>
                  <w:tcW w:w="1740" w:type="dxa"/>
                  <w:tcBorders>
                    <w:tl2br w:val="nil"/>
                    <w:tr2bl w:val="nil"/>
                  </w:tcBorders>
                  <w:vAlign w:val="center"/>
                </w:tcPr>
                <w:p>
                  <w:pPr>
                    <w:jc w:val="center"/>
                    <w:rPr>
                      <w:rFonts w:eastAsia="宋体"/>
                      <w:szCs w:val="21"/>
                    </w:rPr>
                  </w:pPr>
                  <w:r>
                    <w:rPr>
                      <w:rFonts w:hint="eastAsia" w:eastAsia="宋体"/>
                      <w:szCs w:val="21"/>
                    </w:rPr>
                    <w:t>0.194</w:t>
                  </w:r>
                </w:p>
              </w:tc>
              <w:tc>
                <w:tcPr>
                  <w:tcW w:w="1215" w:type="dxa"/>
                  <w:tcBorders>
                    <w:tl2br w:val="nil"/>
                    <w:tr2bl w:val="nil"/>
                  </w:tcBorders>
                  <w:vAlign w:val="center"/>
                </w:tcPr>
                <w:p>
                  <w:pPr>
                    <w:jc w:val="center"/>
                    <w:rPr>
                      <w:rFonts w:eastAsia="宋体"/>
                      <w:szCs w:val="21"/>
                    </w:rPr>
                  </w:pPr>
                  <w:r>
                    <w:rPr>
                      <w:rFonts w:hint="eastAsia" w:eastAsia="宋体"/>
                      <w:szCs w:val="21"/>
                    </w:rPr>
                    <w:t>0</w:t>
                  </w:r>
                </w:p>
              </w:tc>
              <w:tc>
                <w:tcPr>
                  <w:tcW w:w="1335" w:type="dxa"/>
                  <w:tcBorders>
                    <w:tl2br w:val="nil"/>
                    <w:tr2bl w:val="nil"/>
                  </w:tcBorders>
                  <w:vAlign w:val="center"/>
                </w:tcPr>
                <w:p>
                  <w:pPr>
                    <w:snapToGrid w:val="0"/>
                    <w:spacing w:line="360" w:lineRule="exact"/>
                    <w:contextualSpacing/>
                    <w:jc w:val="center"/>
                    <w:rPr>
                      <w:rFonts w:eastAsia="宋体"/>
                      <w:szCs w:val="21"/>
                    </w:rPr>
                  </w:pPr>
                  <w:r>
                    <w:rPr>
                      <w:color w:val="000000"/>
                      <w:szCs w:val="21"/>
                    </w:rPr>
                    <w:t>——</w:t>
                  </w:r>
                </w:p>
              </w:tc>
              <w:tc>
                <w:tcPr>
                  <w:tcW w:w="1070" w:type="dxa"/>
                  <w:tcBorders>
                    <w:tl2br w:val="nil"/>
                    <w:tr2bl w:val="nil"/>
                  </w:tcBorders>
                  <w:vAlign w:val="center"/>
                </w:tcPr>
                <w:p>
                  <w:pPr>
                    <w:jc w:val="center"/>
                    <w:rPr>
                      <w:rFonts w:eastAsia="宋体"/>
                      <w:szCs w:val="21"/>
                    </w:rPr>
                  </w:pPr>
                  <w:r>
                    <w:rPr>
                      <w:color w:val="000000"/>
                      <w:szCs w:val="21"/>
                    </w:rPr>
                    <w:t>≤</w:t>
                  </w:r>
                  <w:r>
                    <w:rPr>
                      <w:rFonts w:hint="eastAsia"/>
                      <w:color w:val="000000"/>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悬浮物</w:t>
                  </w:r>
                </w:p>
              </w:tc>
              <w:tc>
                <w:tcPr>
                  <w:tcW w:w="1500" w:type="dxa"/>
                  <w:tcBorders>
                    <w:tl2br w:val="nil"/>
                    <w:tr2bl w:val="nil"/>
                  </w:tcBorders>
                  <w:vAlign w:val="center"/>
                </w:tcPr>
                <w:p>
                  <w:pPr>
                    <w:jc w:val="center"/>
                    <w:rPr>
                      <w:rFonts w:eastAsia="宋体"/>
                      <w:bCs/>
                      <w:szCs w:val="21"/>
                    </w:rPr>
                  </w:pPr>
                  <w:r>
                    <w:rPr>
                      <w:rFonts w:hint="eastAsia" w:eastAsia="宋体"/>
                      <w:bCs/>
                      <w:szCs w:val="21"/>
                    </w:rPr>
                    <w:t>13</w:t>
                  </w:r>
                </w:p>
              </w:tc>
              <w:tc>
                <w:tcPr>
                  <w:tcW w:w="1740" w:type="dxa"/>
                  <w:tcBorders>
                    <w:tl2br w:val="nil"/>
                    <w:tr2bl w:val="nil"/>
                  </w:tcBorders>
                  <w:vAlign w:val="center"/>
                </w:tcPr>
                <w:p>
                  <w:pPr>
                    <w:jc w:val="center"/>
                    <w:rPr>
                      <w:rFonts w:eastAsia="宋体"/>
                      <w:bCs/>
                      <w:szCs w:val="21"/>
                    </w:rPr>
                  </w:pPr>
                  <w:r>
                    <w:rPr>
                      <w:rFonts w:hint="eastAsia" w:eastAsia="宋体"/>
                      <w:bCs/>
                      <w:szCs w:val="21"/>
                    </w:rPr>
                    <w:t>15</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化学需氧量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22</w:t>
                  </w:r>
                </w:p>
              </w:tc>
              <w:tc>
                <w:tcPr>
                  <w:tcW w:w="1740" w:type="dxa"/>
                  <w:tcBorders>
                    <w:tl2br w:val="nil"/>
                    <w:tr2bl w:val="nil"/>
                  </w:tcBorders>
                  <w:vAlign w:val="center"/>
                </w:tcPr>
                <w:p>
                  <w:pPr>
                    <w:jc w:val="center"/>
                    <w:rPr>
                      <w:rFonts w:eastAsia="宋体"/>
                      <w:bCs/>
                      <w:szCs w:val="21"/>
                    </w:rPr>
                  </w:pPr>
                  <w:r>
                    <w:rPr>
                      <w:rFonts w:hint="eastAsia" w:eastAsia="宋体"/>
                      <w:bCs/>
                      <w:szCs w:val="21"/>
                    </w:rPr>
                    <w:t>20</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五日生化需氧量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6.3</w:t>
                  </w:r>
                </w:p>
              </w:tc>
              <w:tc>
                <w:tcPr>
                  <w:tcW w:w="1740" w:type="dxa"/>
                  <w:tcBorders>
                    <w:tl2br w:val="nil"/>
                    <w:tr2bl w:val="nil"/>
                  </w:tcBorders>
                  <w:vAlign w:val="center"/>
                </w:tcPr>
                <w:p>
                  <w:pPr>
                    <w:jc w:val="center"/>
                    <w:rPr>
                      <w:rFonts w:eastAsia="宋体"/>
                      <w:bCs/>
                      <w:szCs w:val="21"/>
                    </w:rPr>
                  </w:pPr>
                  <w:r>
                    <w:rPr>
                      <w:rFonts w:hint="eastAsia" w:eastAsia="宋体"/>
                      <w:bCs/>
                      <w:szCs w:val="21"/>
                    </w:rPr>
                    <w:t>7.5</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7.5</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总磷</w:t>
                  </w:r>
                </w:p>
              </w:tc>
              <w:tc>
                <w:tcPr>
                  <w:tcW w:w="1500" w:type="dxa"/>
                  <w:tcBorders>
                    <w:tl2br w:val="nil"/>
                    <w:tr2bl w:val="nil"/>
                  </w:tcBorders>
                  <w:vAlign w:val="center"/>
                </w:tcPr>
                <w:p>
                  <w:pPr>
                    <w:jc w:val="center"/>
                    <w:rPr>
                      <w:rFonts w:eastAsia="宋体"/>
                      <w:bCs/>
                      <w:szCs w:val="21"/>
                    </w:rPr>
                  </w:pPr>
                  <w:r>
                    <w:rPr>
                      <w:rFonts w:hint="eastAsia" w:eastAsia="宋体"/>
                      <w:bCs/>
                      <w:szCs w:val="21"/>
                    </w:rPr>
                    <w:t>0.70</w:t>
                  </w:r>
                </w:p>
              </w:tc>
              <w:tc>
                <w:tcPr>
                  <w:tcW w:w="1740" w:type="dxa"/>
                  <w:tcBorders>
                    <w:tl2br w:val="nil"/>
                    <w:tr2bl w:val="nil"/>
                  </w:tcBorders>
                  <w:vAlign w:val="center"/>
                </w:tcPr>
                <w:p>
                  <w:pPr>
                    <w:jc w:val="center"/>
                    <w:rPr>
                      <w:rFonts w:eastAsia="宋体"/>
                      <w:bCs/>
                      <w:szCs w:val="21"/>
                    </w:rPr>
                  </w:pPr>
                  <w:r>
                    <w:rPr>
                      <w:rFonts w:hint="eastAsia" w:eastAsia="宋体"/>
                      <w:bCs/>
                      <w:szCs w:val="21"/>
                    </w:rPr>
                    <w:t>0.86</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0.86</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rFonts w:eastAsia="宋体"/>
                      <w:bCs/>
                      <w:szCs w:val="21"/>
                    </w:rPr>
                  </w:pPr>
                  <w:r>
                    <w:rPr>
                      <w:rFonts w:hint="eastAsia"/>
                    </w:rPr>
                    <w:t>石油类</w:t>
                  </w:r>
                </w:p>
              </w:tc>
              <w:tc>
                <w:tcPr>
                  <w:tcW w:w="1500" w:type="dxa"/>
                  <w:tcBorders>
                    <w:tl2br w:val="nil"/>
                    <w:tr2bl w:val="nil"/>
                  </w:tcBorders>
                  <w:vAlign w:val="center"/>
                </w:tcPr>
                <w:p>
                  <w:pPr>
                    <w:jc w:val="center"/>
                    <w:rPr>
                      <w:rFonts w:eastAsia="宋体"/>
                      <w:bCs/>
                      <w:szCs w:val="21"/>
                    </w:rPr>
                  </w:pPr>
                  <w:r>
                    <w:rPr>
                      <w:rFonts w:hint="eastAsia" w:eastAsia="宋体"/>
                      <w:bCs/>
                      <w:szCs w:val="21"/>
                    </w:rPr>
                    <w:t>0.01L</w:t>
                  </w:r>
                </w:p>
              </w:tc>
              <w:tc>
                <w:tcPr>
                  <w:tcW w:w="1740" w:type="dxa"/>
                  <w:tcBorders>
                    <w:tl2br w:val="nil"/>
                    <w:tr2bl w:val="nil"/>
                  </w:tcBorders>
                  <w:vAlign w:val="center"/>
                </w:tcPr>
                <w:p>
                  <w:pPr>
                    <w:jc w:val="center"/>
                    <w:rPr>
                      <w:rFonts w:eastAsia="宋体"/>
                      <w:bCs/>
                      <w:szCs w:val="21"/>
                    </w:rPr>
                  </w:pPr>
                  <w:r>
                    <w:rPr>
                      <w:rFonts w:hint="eastAsia" w:eastAsia="宋体"/>
                      <w:bCs/>
                      <w:szCs w:val="21"/>
                    </w:rPr>
                    <w:t>0.01L</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715" w:type="dxa"/>
                  <w:vMerge w:val="restart"/>
                  <w:tcBorders>
                    <w:tl2br w:val="nil"/>
                    <w:tr2bl w:val="nil"/>
                  </w:tcBorders>
                  <w:vAlign w:val="center"/>
                </w:tcPr>
                <w:p>
                  <w:pPr>
                    <w:jc w:val="center"/>
                    <w:rPr>
                      <w:szCs w:val="21"/>
                    </w:rPr>
                  </w:pPr>
                  <w:r>
                    <w:rPr>
                      <w:rFonts w:hint="eastAsia"/>
                      <w:szCs w:val="21"/>
                    </w:rPr>
                    <w:t>5月</w:t>
                  </w:r>
                </w:p>
                <w:p>
                  <w:pPr>
                    <w:jc w:val="center"/>
                    <w:rPr>
                      <w:bCs/>
                      <w:szCs w:val="21"/>
                    </w:rPr>
                  </w:pPr>
                  <w:r>
                    <w:rPr>
                      <w:rFonts w:hint="eastAsia"/>
                      <w:szCs w:val="21"/>
                    </w:rPr>
                    <w:t>18日</w:t>
                  </w:r>
                </w:p>
              </w:tc>
              <w:tc>
                <w:tcPr>
                  <w:tcW w:w="1185" w:type="dxa"/>
                  <w:tcBorders>
                    <w:tl2br w:val="nil"/>
                    <w:tr2bl w:val="nil"/>
                  </w:tcBorders>
                  <w:vAlign w:val="center"/>
                </w:tcPr>
                <w:p>
                  <w:pPr>
                    <w:jc w:val="center"/>
                  </w:pPr>
                  <w:r>
                    <w:rPr>
                      <w:rFonts w:hint="eastAsia"/>
                    </w:rPr>
                    <w:t>pH（无量纲）</w:t>
                  </w:r>
                </w:p>
              </w:tc>
              <w:tc>
                <w:tcPr>
                  <w:tcW w:w="1500" w:type="dxa"/>
                  <w:tcBorders>
                    <w:tl2br w:val="nil"/>
                    <w:tr2bl w:val="nil"/>
                  </w:tcBorders>
                  <w:vAlign w:val="center"/>
                </w:tcPr>
                <w:p>
                  <w:pPr>
                    <w:jc w:val="center"/>
                    <w:rPr>
                      <w:rFonts w:eastAsia="宋体"/>
                      <w:bCs/>
                      <w:szCs w:val="21"/>
                    </w:rPr>
                  </w:pPr>
                  <w:r>
                    <w:rPr>
                      <w:rFonts w:hint="eastAsia" w:eastAsia="宋体"/>
                      <w:bCs/>
                      <w:szCs w:val="21"/>
                    </w:rPr>
                    <w:t>7.67</w:t>
                  </w:r>
                </w:p>
              </w:tc>
              <w:tc>
                <w:tcPr>
                  <w:tcW w:w="1740" w:type="dxa"/>
                  <w:tcBorders>
                    <w:tl2br w:val="nil"/>
                    <w:tr2bl w:val="nil"/>
                  </w:tcBorders>
                  <w:vAlign w:val="center"/>
                </w:tcPr>
                <w:p>
                  <w:pPr>
                    <w:jc w:val="center"/>
                    <w:rPr>
                      <w:rFonts w:eastAsia="宋体"/>
                      <w:bCs/>
                      <w:szCs w:val="21"/>
                    </w:rPr>
                  </w:pPr>
                  <w:r>
                    <w:rPr>
                      <w:rFonts w:hint="eastAsia" w:eastAsia="宋体"/>
                      <w:bCs/>
                      <w:szCs w:val="21"/>
                    </w:rPr>
                    <w:t>7.73</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氨氮</w:t>
                  </w:r>
                </w:p>
              </w:tc>
              <w:tc>
                <w:tcPr>
                  <w:tcW w:w="1500" w:type="dxa"/>
                  <w:tcBorders>
                    <w:tl2br w:val="nil"/>
                    <w:tr2bl w:val="nil"/>
                  </w:tcBorders>
                  <w:vAlign w:val="center"/>
                </w:tcPr>
                <w:p>
                  <w:pPr>
                    <w:jc w:val="center"/>
                    <w:rPr>
                      <w:rFonts w:eastAsia="宋体"/>
                      <w:bCs/>
                      <w:szCs w:val="21"/>
                    </w:rPr>
                  </w:pPr>
                  <w:r>
                    <w:rPr>
                      <w:rFonts w:hint="eastAsia" w:eastAsia="宋体"/>
                      <w:bCs/>
                      <w:szCs w:val="21"/>
                    </w:rPr>
                    <w:t>0.120</w:t>
                  </w:r>
                </w:p>
              </w:tc>
              <w:tc>
                <w:tcPr>
                  <w:tcW w:w="1740" w:type="dxa"/>
                  <w:tcBorders>
                    <w:tl2br w:val="nil"/>
                    <w:tr2bl w:val="nil"/>
                  </w:tcBorders>
                  <w:vAlign w:val="center"/>
                </w:tcPr>
                <w:p>
                  <w:pPr>
                    <w:jc w:val="center"/>
                    <w:rPr>
                      <w:rFonts w:eastAsia="宋体"/>
                      <w:bCs/>
                      <w:szCs w:val="21"/>
                    </w:rPr>
                  </w:pPr>
                  <w:r>
                    <w:rPr>
                      <w:rFonts w:hint="eastAsia" w:eastAsia="宋体"/>
                      <w:bCs/>
                      <w:szCs w:val="21"/>
                    </w:rPr>
                    <w:t>0.220</w:t>
                  </w:r>
                </w:p>
              </w:tc>
              <w:tc>
                <w:tcPr>
                  <w:tcW w:w="1215" w:type="dxa"/>
                  <w:tcBorders>
                    <w:tl2br w:val="nil"/>
                    <w:tr2bl w:val="nil"/>
                  </w:tcBorders>
                  <w:vAlign w:val="center"/>
                </w:tcPr>
                <w:p>
                  <w:pPr>
                    <w:jc w:val="center"/>
                    <w:rPr>
                      <w:rFonts w:eastAsia="宋体"/>
                      <w:bCs/>
                      <w:szCs w:val="21"/>
                    </w:rPr>
                  </w:pPr>
                  <w:r>
                    <w:rPr>
                      <w:rFonts w:hint="eastAsia" w:eastAsia="宋体"/>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悬浮物</w:t>
                  </w:r>
                </w:p>
              </w:tc>
              <w:tc>
                <w:tcPr>
                  <w:tcW w:w="1500" w:type="dxa"/>
                  <w:tcBorders>
                    <w:tl2br w:val="nil"/>
                    <w:tr2bl w:val="nil"/>
                  </w:tcBorders>
                  <w:vAlign w:val="center"/>
                </w:tcPr>
                <w:p>
                  <w:pPr>
                    <w:jc w:val="center"/>
                    <w:rPr>
                      <w:rFonts w:eastAsia="宋体"/>
                      <w:bCs/>
                      <w:szCs w:val="21"/>
                    </w:rPr>
                  </w:pPr>
                  <w:r>
                    <w:rPr>
                      <w:rFonts w:hint="eastAsia" w:eastAsia="宋体"/>
                      <w:bCs/>
                      <w:szCs w:val="21"/>
                    </w:rPr>
                    <w:t>10</w:t>
                  </w:r>
                </w:p>
              </w:tc>
              <w:tc>
                <w:tcPr>
                  <w:tcW w:w="1740" w:type="dxa"/>
                  <w:tcBorders>
                    <w:tl2br w:val="nil"/>
                    <w:tr2bl w:val="nil"/>
                  </w:tcBorders>
                  <w:vAlign w:val="center"/>
                </w:tcPr>
                <w:p>
                  <w:pPr>
                    <w:jc w:val="center"/>
                    <w:rPr>
                      <w:rFonts w:eastAsia="宋体"/>
                      <w:bCs/>
                      <w:szCs w:val="21"/>
                    </w:rPr>
                  </w:pPr>
                  <w:r>
                    <w:rPr>
                      <w:rFonts w:hint="eastAsia" w:eastAsia="宋体"/>
                      <w:bCs/>
                      <w:szCs w:val="21"/>
                    </w:rPr>
                    <w:t>12</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化学需氧量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25</w:t>
                  </w:r>
                </w:p>
              </w:tc>
              <w:tc>
                <w:tcPr>
                  <w:tcW w:w="1740" w:type="dxa"/>
                  <w:tcBorders>
                    <w:tl2br w:val="nil"/>
                    <w:tr2bl w:val="nil"/>
                  </w:tcBorders>
                  <w:vAlign w:val="center"/>
                </w:tcPr>
                <w:p>
                  <w:pPr>
                    <w:jc w:val="center"/>
                    <w:rPr>
                      <w:rFonts w:eastAsia="宋体"/>
                      <w:bCs/>
                      <w:szCs w:val="21"/>
                    </w:rPr>
                  </w:pPr>
                  <w:r>
                    <w:rPr>
                      <w:rFonts w:hint="eastAsia" w:eastAsia="宋体"/>
                      <w:bCs/>
                      <w:szCs w:val="21"/>
                    </w:rPr>
                    <w:t>21</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五日生化需氧量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5.9</w:t>
                  </w:r>
                </w:p>
              </w:tc>
              <w:tc>
                <w:tcPr>
                  <w:tcW w:w="1740" w:type="dxa"/>
                  <w:tcBorders>
                    <w:tl2br w:val="nil"/>
                    <w:tr2bl w:val="nil"/>
                  </w:tcBorders>
                  <w:vAlign w:val="center"/>
                </w:tcPr>
                <w:p>
                  <w:pPr>
                    <w:jc w:val="center"/>
                    <w:rPr>
                      <w:rFonts w:eastAsia="宋体"/>
                      <w:bCs/>
                      <w:szCs w:val="21"/>
                    </w:rPr>
                  </w:pPr>
                  <w:r>
                    <w:rPr>
                      <w:rFonts w:hint="eastAsia" w:eastAsia="宋体"/>
                      <w:bCs/>
                      <w:szCs w:val="21"/>
                    </w:rPr>
                    <w:t>7.1</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7.1</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rPr>
                      <w:bCs/>
                      <w:szCs w:val="21"/>
                    </w:rPr>
                  </w:pPr>
                  <w:r>
                    <w:rPr>
                      <w:rFonts w:hint="eastAsia"/>
                    </w:rPr>
                    <w:t>总磷</w:t>
                  </w:r>
                </w:p>
              </w:tc>
              <w:tc>
                <w:tcPr>
                  <w:tcW w:w="1500" w:type="dxa"/>
                  <w:tcBorders>
                    <w:tl2br w:val="nil"/>
                    <w:tr2bl w:val="nil"/>
                  </w:tcBorders>
                  <w:vAlign w:val="center"/>
                </w:tcPr>
                <w:p>
                  <w:pPr>
                    <w:jc w:val="center"/>
                    <w:rPr>
                      <w:rFonts w:eastAsia="宋体"/>
                      <w:bCs/>
                      <w:szCs w:val="21"/>
                    </w:rPr>
                  </w:pPr>
                  <w:r>
                    <w:rPr>
                      <w:rFonts w:hint="eastAsia" w:eastAsia="宋体"/>
                      <w:bCs/>
                      <w:szCs w:val="21"/>
                    </w:rPr>
                    <w:t xml:space="preserve">0.71 </w:t>
                  </w:r>
                </w:p>
              </w:tc>
              <w:tc>
                <w:tcPr>
                  <w:tcW w:w="1740" w:type="dxa"/>
                  <w:tcBorders>
                    <w:tl2br w:val="nil"/>
                    <w:tr2bl w:val="nil"/>
                  </w:tcBorders>
                  <w:vAlign w:val="center"/>
                </w:tcPr>
                <w:p>
                  <w:pPr>
                    <w:jc w:val="center"/>
                    <w:rPr>
                      <w:rFonts w:eastAsia="宋体"/>
                      <w:bCs/>
                      <w:szCs w:val="21"/>
                    </w:rPr>
                  </w:pPr>
                  <w:r>
                    <w:rPr>
                      <w:rFonts w:hint="eastAsia" w:eastAsia="宋体"/>
                      <w:bCs/>
                      <w:szCs w:val="21"/>
                    </w:rPr>
                    <w:t>0.86</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0.86</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石油类</w:t>
                  </w:r>
                </w:p>
              </w:tc>
              <w:tc>
                <w:tcPr>
                  <w:tcW w:w="1500" w:type="dxa"/>
                  <w:tcBorders>
                    <w:tl2br w:val="nil"/>
                    <w:tr2bl w:val="nil"/>
                  </w:tcBorders>
                  <w:vAlign w:val="center"/>
                </w:tcPr>
                <w:p>
                  <w:pPr>
                    <w:jc w:val="center"/>
                    <w:rPr>
                      <w:rFonts w:eastAsia="宋体"/>
                      <w:bCs/>
                      <w:szCs w:val="21"/>
                    </w:rPr>
                  </w:pPr>
                  <w:r>
                    <w:rPr>
                      <w:rFonts w:hint="eastAsia" w:eastAsia="宋体"/>
                      <w:bCs/>
                      <w:szCs w:val="21"/>
                    </w:rPr>
                    <w:t>0.01L</w:t>
                  </w:r>
                </w:p>
              </w:tc>
              <w:tc>
                <w:tcPr>
                  <w:tcW w:w="1740" w:type="dxa"/>
                  <w:tcBorders>
                    <w:tl2br w:val="nil"/>
                    <w:tr2bl w:val="nil"/>
                  </w:tcBorders>
                  <w:vAlign w:val="center"/>
                </w:tcPr>
                <w:p>
                  <w:pPr>
                    <w:jc w:val="center"/>
                    <w:rPr>
                      <w:rFonts w:eastAsia="宋体"/>
                      <w:bCs/>
                      <w:szCs w:val="21"/>
                    </w:rPr>
                  </w:pPr>
                  <w:r>
                    <w:rPr>
                      <w:rFonts w:hint="eastAsia" w:eastAsia="宋体"/>
                      <w:bCs/>
                      <w:szCs w:val="21"/>
                    </w:rPr>
                    <w:t>0.01L</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restart"/>
                  <w:tcBorders>
                    <w:tl2br w:val="nil"/>
                    <w:tr2bl w:val="nil"/>
                  </w:tcBorders>
                  <w:vAlign w:val="center"/>
                </w:tcPr>
                <w:p>
                  <w:pPr>
                    <w:jc w:val="center"/>
                    <w:rPr>
                      <w:szCs w:val="21"/>
                    </w:rPr>
                  </w:pPr>
                  <w:r>
                    <w:rPr>
                      <w:rFonts w:hint="eastAsia"/>
                      <w:szCs w:val="21"/>
                    </w:rPr>
                    <w:t>5月</w:t>
                  </w:r>
                </w:p>
                <w:p>
                  <w:pPr>
                    <w:jc w:val="center"/>
                    <w:rPr>
                      <w:bCs/>
                      <w:szCs w:val="21"/>
                    </w:rPr>
                  </w:pPr>
                  <w:r>
                    <w:rPr>
                      <w:rFonts w:hint="eastAsia"/>
                      <w:szCs w:val="21"/>
                    </w:rPr>
                    <w:t>19日</w:t>
                  </w:r>
                </w:p>
              </w:tc>
              <w:tc>
                <w:tcPr>
                  <w:tcW w:w="1185" w:type="dxa"/>
                  <w:tcBorders>
                    <w:tl2br w:val="nil"/>
                    <w:tr2bl w:val="nil"/>
                  </w:tcBorders>
                  <w:vAlign w:val="center"/>
                </w:tcPr>
                <w:p>
                  <w:pPr>
                    <w:jc w:val="center"/>
                  </w:pPr>
                  <w:r>
                    <w:rPr>
                      <w:rFonts w:hint="eastAsia"/>
                    </w:rPr>
                    <w:t>pH（无量纲）</w:t>
                  </w:r>
                </w:p>
              </w:tc>
              <w:tc>
                <w:tcPr>
                  <w:tcW w:w="1500" w:type="dxa"/>
                  <w:tcBorders>
                    <w:tl2br w:val="nil"/>
                    <w:tr2bl w:val="nil"/>
                  </w:tcBorders>
                  <w:vAlign w:val="center"/>
                </w:tcPr>
                <w:p>
                  <w:pPr>
                    <w:jc w:val="center"/>
                    <w:rPr>
                      <w:rFonts w:eastAsia="宋体"/>
                      <w:bCs/>
                      <w:szCs w:val="21"/>
                    </w:rPr>
                  </w:pPr>
                  <w:r>
                    <w:rPr>
                      <w:rFonts w:hint="eastAsia" w:eastAsia="宋体"/>
                      <w:bCs/>
                      <w:szCs w:val="21"/>
                    </w:rPr>
                    <w:t>7.59</w:t>
                  </w:r>
                </w:p>
              </w:tc>
              <w:tc>
                <w:tcPr>
                  <w:tcW w:w="1740" w:type="dxa"/>
                  <w:tcBorders>
                    <w:tl2br w:val="nil"/>
                    <w:tr2bl w:val="nil"/>
                  </w:tcBorders>
                  <w:vAlign w:val="center"/>
                </w:tcPr>
                <w:p>
                  <w:pPr>
                    <w:jc w:val="center"/>
                    <w:rPr>
                      <w:rFonts w:eastAsia="宋体"/>
                      <w:bCs/>
                      <w:szCs w:val="21"/>
                    </w:rPr>
                  </w:pPr>
                  <w:r>
                    <w:rPr>
                      <w:rFonts w:hint="eastAsia" w:eastAsia="宋体"/>
                      <w:bCs/>
                      <w:szCs w:val="21"/>
                    </w:rPr>
                    <w:t>7.67</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氨氮</w:t>
                  </w:r>
                </w:p>
              </w:tc>
              <w:tc>
                <w:tcPr>
                  <w:tcW w:w="1500" w:type="dxa"/>
                  <w:tcBorders>
                    <w:tl2br w:val="nil"/>
                    <w:tr2bl w:val="nil"/>
                  </w:tcBorders>
                  <w:vAlign w:val="center"/>
                </w:tcPr>
                <w:p>
                  <w:pPr>
                    <w:jc w:val="center"/>
                    <w:rPr>
                      <w:rFonts w:eastAsia="宋体"/>
                      <w:bCs/>
                      <w:szCs w:val="21"/>
                    </w:rPr>
                  </w:pPr>
                  <w:r>
                    <w:rPr>
                      <w:rFonts w:hint="eastAsia" w:eastAsia="宋体"/>
                      <w:bCs/>
                      <w:szCs w:val="21"/>
                    </w:rPr>
                    <w:t>0.131</w:t>
                  </w:r>
                </w:p>
              </w:tc>
              <w:tc>
                <w:tcPr>
                  <w:tcW w:w="1740" w:type="dxa"/>
                  <w:tcBorders>
                    <w:tl2br w:val="nil"/>
                    <w:tr2bl w:val="nil"/>
                  </w:tcBorders>
                  <w:vAlign w:val="center"/>
                </w:tcPr>
                <w:p>
                  <w:pPr>
                    <w:jc w:val="center"/>
                    <w:rPr>
                      <w:rFonts w:eastAsia="宋体"/>
                      <w:bCs/>
                      <w:szCs w:val="21"/>
                    </w:rPr>
                  </w:pPr>
                  <w:r>
                    <w:rPr>
                      <w:rFonts w:hint="eastAsia" w:eastAsia="宋体"/>
                      <w:bCs/>
                      <w:szCs w:val="21"/>
                    </w:rPr>
                    <w:t>0.215</w:t>
                  </w:r>
                </w:p>
              </w:tc>
              <w:tc>
                <w:tcPr>
                  <w:tcW w:w="1215" w:type="dxa"/>
                  <w:tcBorders>
                    <w:tl2br w:val="nil"/>
                    <w:tr2bl w:val="nil"/>
                  </w:tcBorders>
                  <w:vAlign w:val="center"/>
                </w:tcPr>
                <w:p>
                  <w:pPr>
                    <w:jc w:val="center"/>
                    <w:rPr>
                      <w:rFonts w:eastAsia="宋体"/>
                      <w:bCs/>
                      <w:szCs w:val="21"/>
                    </w:rPr>
                  </w:pPr>
                  <w:r>
                    <w:rPr>
                      <w:rFonts w:hint="eastAsia" w:eastAsia="宋体"/>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悬浮物</w:t>
                  </w:r>
                </w:p>
              </w:tc>
              <w:tc>
                <w:tcPr>
                  <w:tcW w:w="1500" w:type="dxa"/>
                  <w:tcBorders>
                    <w:tl2br w:val="nil"/>
                    <w:tr2bl w:val="nil"/>
                  </w:tcBorders>
                  <w:vAlign w:val="center"/>
                </w:tcPr>
                <w:p>
                  <w:pPr>
                    <w:jc w:val="center"/>
                    <w:rPr>
                      <w:rFonts w:eastAsia="宋体"/>
                      <w:bCs/>
                      <w:szCs w:val="21"/>
                    </w:rPr>
                  </w:pPr>
                  <w:r>
                    <w:rPr>
                      <w:rFonts w:hint="eastAsia" w:eastAsia="宋体"/>
                      <w:bCs/>
                      <w:szCs w:val="21"/>
                    </w:rPr>
                    <w:t>13</w:t>
                  </w:r>
                </w:p>
              </w:tc>
              <w:tc>
                <w:tcPr>
                  <w:tcW w:w="1740" w:type="dxa"/>
                  <w:tcBorders>
                    <w:tl2br w:val="nil"/>
                    <w:tr2bl w:val="nil"/>
                  </w:tcBorders>
                  <w:vAlign w:val="center"/>
                </w:tcPr>
                <w:p>
                  <w:pPr>
                    <w:jc w:val="center"/>
                    <w:rPr>
                      <w:rFonts w:eastAsia="宋体"/>
                      <w:bCs/>
                      <w:szCs w:val="21"/>
                    </w:rPr>
                  </w:pPr>
                  <w:r>
                    <w:rPr>
                      <w:rFonts w:hint="eastAsia" w:eastAsia="宋体"/>
                      <w:bCs/>
                      <w:szCs w:val="21"/>
                    </w:rPr>
                    <w:t>14</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snapToGrid w:val="0"/>
                    <w:spacing w:line="360" w:lineRule="exact"/>
                    <w:contextualSpacing/>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化学需氧量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23</w:t>
                  </w:r>
                </w:p>
              </w:tc>
              <w:tc>
                <w:tcPr>
                  <w:tcW w:w="1740" w:type="dxa"/>
                  <w:tcBorders>
                    <w:tl2br w:val="nil"/>
                    <w:tr2bl w:val="nil"/>
                  </w:tcBorders>
                  <w:vAlign w:val="center"/>
                </w:tcPr>
                <w:p>
                  <w:pPr>
                    <w:jc w:val="center"/>
                    <w:rPr>
                      <w:rFonts w:eastAsia="宋体"/>
                      <w:bCs/>
                      <w:szCs w:val="21"/>
                    </w:rPr>
                  </w:pPr>
                  <w:r>
                    <w:rPr>
                      <w:rFonts w:hint="eastAsia" w:eastAsia="宋体"/>
                      <w:bCs/>
                      <w:szCs w:val="21"/>
                    </w:rPr>
                    <w:t>22</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五日生化需氧量</w:t>
                  </w:r>
                </w:p>
              </w:tc>
              <w:tc>
                <w:tcPr>
                  <w:tcW w:w="1500" w:type="dxa"/>
                  <w:tcBorders>
                    <w:tl2br w:val="nil"/>
                    <w:tr2bl w:val="nil"/>
                  </w:tcBorders>
                  <w:vAlign w:val="center"/>
                </w:tcPr>
                <w:p>
                  <w:pPr>
                    <w:jc w:val="center"/>
                    <w:rPr>
                      <w:rFonts w:eastAsia="宋体"/>
                      <w:bCs/>
                      <w:szCs w:val="21"/>
                    </w:rPr>
                  </w:pPr>
                  <w:r>
                    <w:rPr>
                      <w:rFonts w:hint="eastAsia" w:eastAsia="宋体"/>
                      <w:bCs/>
                      <w:szCs w:val="21"/>
                    </w:rPr>
                    <w:t>6.1</w:t>
                  </w:r>
                </w:p>
              </w:tc>
              <w:tc>
                <w:tcPr>
                  <w:tcW w:w="1740" w:type="dxa"/>
                  <w:tcBorders>
                    <w:tl2br w:val="nil"/>
                    <w:tr2bl w:val="nil"/>
                  </w:tcBorders>
                  <w:vAlign w:val="center"/>
                </w:tcPr>
                <w:p>
                  <w:pPr>
                    <w:jc w:val="center"/>
                    <w:rPr>
                      <w:rFonts w:eastAsia="宋体"/>
                      <w:bCs/>
                      <w:szCs w:val="21"/>
                    </w:rPr>
                  </w:pPr>
                  <w:r>
                    <w:rPr>
                      <w:rFonts w:hint="eastAsia" w:eastAsia="宋体"/>
                      <w:bCs/>
                      <w:szCs w:val="21"/>
                    </w:rPr>
                    <w:t>6.9</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6.9</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总磷</w:t>
                  </w:r>
                </w:p>
              </w:tc>
              <w:tc>
                <w:tcPr>
                  <w:tcW w:w="1500" w:type="dxa"/>
                  <w:tcBorders>
                    <w:tl2br w:val="nil"/>
                    <w:tr2bl w:val="nil"/>
                  </w:tcBorders>
                  <w:vAlign w:val="center"/>
                </w:tcPr>
                <w:p>
                  <w:pPr>
                    <w:jc w:val="center"/>
                    <w:rPr>
                      <w:rFonts w:eastAsia="宋体"/>
                      <w:bCs/>
                      <w:szCs w:val="21"/>
                    </w:rPr>
                  </w:pPr>
                  <w:r>
                    <w:rPr>
                      <w:rFonts w:hint="eastAsia" w:eastAsia="宋体"/>
                      <w:bCs/>
                      <w:szCs w:val="21"/>
                    </w:rPr>
                    <w:t>0.72</w:t>
                  </w:r>
                </w:p>
              </w:tc>
              <w:tc>
                <w:tcPr>
                  <w:tcW w:w="1740" w:type="dxa"/>
                  <w:tcBorders>
                    <w:tl2br w:val="nil"/>
                    <w:tr2bl w:val="nil"/>
                  </w:tcBorders>
                  <w:vAlign w:val="center"/>
                </w:tcPr>
                <w:p>
                  <w:pPr>
                    <w:jc w:val="center"/>
                    <w:rPr>
                      <w:rFonts w:eastAsia="宋体"/>
                      <w:bCs/>
                      <w:szCs w:val="21"/>
                    </w:rPr>
                  </w:pPr>
                  <w:r>
                    <w:rPr>
                      <w:rFonts w:hint="eastAsia" w:eastAsia="宋体"/>
                      <w:bCs/>
                      <w:szCs w:val="21"/>
                    </w:rPr>
                    <w:t>0.88</w:t>
                  </w:r>
                </w:p>
              </w:tc>
              <w:tc>
                <w:tcPr>
                  <w:tcW w:w="1215" w:type="dxa"/>
                  <w:tcBorders>
                    <w:tl2br w:val="nil"/>
                    <w:tr2bl w:val="nil"/>
                  </w:tcBorders>
                  <w:vAlign w:val="center"/>
                </w:tcPr>
                <w:p>
                  <w:pPr>
                    <w:jc w:val="center"/>
                    <w:rPr>
                      <w:rFonts w:eastAsia="宋体"/>
                      <w:bCs/>
                      <w:szCs w:val="21"/>
                    </w:rPr>
                  </w:pPr>
                  <w:r>
                    <w:rPr>
                      <w:rFonts w:hint="eastAsia" w:eastAsia="宋体"/>
                      <w:bCs/>
                      <w:szCs w:val="21"/>
                    </w:rPr>
                    <w:t>100</w:t>
                  </w:r>
                  <w:r>
                    <w:rPr>
                      <w:color w:val="000000"/>
                      <w:szCs w:val="21"/>
                    </w:rPr>
                    <w:t>%</w:t>
                  </w:r>
                </w:p>
              </w:tc>
              <w:tc>
                <w:tcPr>
                  <w:tcW w:w="1335" w:type="dxa"/>
                  <w:tcBorders>
                    <w:tl2br w:val="nil"/>
                    <w:tr2bl w:val="nil"/>
                  </w:tcBorders>
                  <w:vAlign w:val="center"/>
                </w:tcPr>
                <w:p>
                  <w:pPr>
                    <w:jc w:val="center"/>
                    <w:rPr>
                      <w:rFonts w:eastAsia="宋体"/>
                      <w:bCs/>
                      <w:szCs w:val="21"/>
                    </w:rPr>
                  </w:pPr>
                  <w:r>
                    <w:rPr>
                      <w:rFonts w:hint="eastAsia" w:eastAsia="宋体"/>
                      <w:bCs/>
                      <w:szCs w:val="21"/>
                    </w:rPr>
                    <w:t>0.88</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715" w:type="dxa"/>
                  <w:vMerge w:val="continue"/>
                  <w:tcBorders>
                    <w:tl2br w:val="nil"/>
                    <w:tr2bl w:val="nil"/>
                  </w:tcBorders>
                  <w:vAlign w:val="center"/>
                </w:tcPr>
                <w:p>
                  <w:pPr>
                    <w:jc w:val="center"/>
                    <w:rPr>
                      <w:bCs/>
                      <w:szCs w:val="21"/>
                    </w:rPr>
                  </w:pPr>
                </w:p>
              </w:tc>
              <w:tc>
                <w:tcPr>
                  <w:tcW w:w="1185" w:type="dxa"/>
                  <w:tcBorders>
                    <w:tl2br w:val="nil"/>
                    <w:tr2bl w:val="nil"/>
                  </w:tcBorders>
                  <w:vAlign w:val="center"/>
                </w:tcPr>
                <w:p>
                  <w:pPr>
                    <w:jc w:val="center"/>
                  </w:pPr>
                  <w:r>
                    <w:rPr>
                      <w:rFonts w:hint="eastAsia"/>
                    </w:rPr>
                    <w:t>石油类</w:t>
                  </w:r>
                </w:p>
              </w:tc>
              <w:tc>
                <w:tcPr>
                  <w:tcW w:w="1500" w:type="dxa"/>
                  <w:tcBorders>
                    <w:tl2br w:val="nil"/>
                    <w:tr2bl w:val="nil"/>
                  </w:tcBorders>
                  <w:vAlign w:val="center"/>
                </w:tcPr>
                <w:p>
                  <w:pPr>
                    <w:jc w:val="center"/>
                    <w:rPr>
                      <w:rFonts w:eastAsia="宋体"/>
                      <w:bCs/>
                      <w:szCs w:val="21"/>
                    </w:rPr>
                  </w:pPr>
                  <w:r>
                    <w:rPr>
                      <w:rFonts w:hint="eastAsia" w:eastAsia="宋体"/>
                      <w:bCs/>
                      <w:szCs w:val="21"/>
                    </w:rPr>
                    <w:t>0.01L</w:t>
                  </w:r>
                </w:p>
              </w:tc>
              <w:tc>
                <w:tcPr>
                  <w:tcW w:w="1740" w:type="dxa"/>
                  <w:tcBorders>
                    <w:tl2br w:val="nil"/>
                    <w:tr2bl w:val="nil"/>
                  </w:tcBorders>
                  <w:vAlign w:val="center"/>
                </w:tcPr>
                <w:p>
                  <w:pPr>
                    <w:jc w:val="center"/>
                    <w:rPr>
                      <w:rFonts w:eastAsia="宋体"/>
                      <w:bCs/>
                      <w:szCs w:val="21"/>
                    </w:rPr>
                  </w:pPr>
                  <w:r>
                    <w:rPr>
                      <w:rFonts w:hint="eastAsia" w:eastAsia="宋体"/>
                      <w:bCs/>
                      <w:szCs w:val="21"/>
                    </w:rPr>
                    <w:t>0.01L</w:t>
                  </w:r>
                </w:p>
              </w:tc>
              <w:tc>
                <w:tcPr>
                  <w:tcW w:w="1215" w:type="dxa"/>
                  <w:tcBorders>
                    <w:tl2br w:val="nil"/>
                    <w:tr2bl w:val="nil"/>
                  </w:tcBorders>
                  <w:vAlign w:val="center"/>
                </w:tcPr>
                <w:p>
                  <w:pPr>
                    <w:jc w:val="center"/>
                    <w:rPr>
                      <w:rFonts w:eastAsia="宋体"/>
                      <w:bCs/>
                      <w:szCs w:val="21"/>
                    </w:rPr>
                  </w:pPr>
                  <w:r>
                    <w:rPr>
                      <w:rFonts w:hint="eastAsia" w:eastAsia="宋体"/>
                      <w:bCs/>
                      <w:szCs w:val="21"/>
                    </w:rPr>
                    <w:t>0</w:t>
                  </w:r>
                </w:p>
              </w:tc>
              <w:tc>
                <w:tcPr>
                  <w:tcW w:w="1335" w:type="dxa"/>
                  <w:tcBorders>
                    <w:tl2br w:val="nil"/>
                    <w:tr2bl w:val="nil"/>
                  </w:tcBorders>
                  <w:vAlign w:val="center"/>
                </w:tcPr>
                <w:p>
                  <w:pPr>
                    <w:jc w:val="center"/>
                    <w:rPr>
                      <w:rFonts w:eastAsia="宋体"/>
                      <w:bCs/>
                      <w:szCs w:val="21"/>
                    </w:rPr>
                  </w:pPr>
                  <w:r>
                    <w:rPr>
                      <w:color w:val="000000"/>
                      <w:szCs w:val="21"/>
                    </w:rPr>
                    <w:t>——</w:t>
                  </w:r>
                </w:p>
              </w:tc>
              <w:tc>
                <w:tcPr>
                  <w:tcW w:w="1070" w:type="dxa"/>
                  <w:tcBorders>
                    <w:tl2br w:val="nil"/>
                    <w:tr2bl w:val="nil"/>
                  </w:tcBorders>
                  <w:vAlign w:val="center"/>
                </w:tcPr>
                <w:p>
                  <w:pPr>
                    <w:jc w:val="center"/>
                    <w:rPr>
                      <w:rFonts w:eastAsia="宋体"/>
                      <w:bCs/>
                      <w:szCs w:val="21"/>
                    </w:rPr>
                  </w:pPr>
                  <w:r>
                    <w:rPr>
                      <w:color w:val="000000"/>
                      <w:szCs w:val="21"/>
                    </w:rPr>
                    <w:t>≤</w:t>
                  </w:r>
                  <w:r>
                    <w:rPr>
                      <w:rFonts w:hint="eastAsia"/>
                      <w:color w:val="000000"/>
                      <w:szCs w:val="21"/>
                    </w:rPr>
                    <w:t>0.5</w:t>
                  </w:r>
                </w:p>
              </w:tc>
            </w:tr>
          </w:tbl>
          <w:p>
            <w:pPr>
              <w:spacing w:line="520" w:lineRule="exact"/>
              <w:ind w:firstLine="462" w:firstLineChars="200"/>
              <w:rPr>
                <w:color w:val="000000"/>
                <w:sz w:val="24"/>
                <w:szCs w:val="24"/>
              </w:rPr>
            </w:pPr>
            <w:r>
              <w:rPr>
                <w:color w:val="000000"/>
                <w:sz w:val="24"/>
                <w:szCs w:val="24"/>
              </w:rPr>
              <w:t>根据表3-3统计数据可知：针对SW1和SW2两个监测断面进行监测共计7项因子监测数据，SW1</w:t>
            </w:r>
            <w:r>
              <w:rPr>
                <w:rFonts w:hint="eastAsia"/>
                <w:color w:val="000000"/>
                <w:sz w:val="24"/>
                <w:szCs w:val="24"/>
              </w:rPr>
              <w:t>、</w:t>
            </w:r>
            <w:r>
              <w:rPr>
                <w:color w:val="000000"/>
                <w:sz w:val="24"/>
                <w:szCs w:val="24"/>
              </w:rPr>
              <w:t>SW2断面的监测数据中除了</w:t>
            </w:r>
            <w:r>
              <w:rPr>
                <w:rFonts w:hint="eastAsia"/>
                <w:color w:val="000000"/>
                <w:sz w:val="24"/>
                <w:szCs w:val="24"/>
              </w:rPr>
              <w:t>五日生化需氧量</w:t>
            </w:r>
            <w:r>
              <w:rPr>
                <w:color w:val="000000"/>
                <w:sz w:val="24"/>
                <w:szCs w:val="24"/>
              </w:rPr>
              <w:t>、总磷不能满足《地表水环境质量标准》（GB3838-2002）和《农田灌溉水质标准》（GB5084-2005）中相应标准，其余因子的监测值能满足相关质量标准要求。</w:t>
            </w:r>
          </w:p>
          <w:p>
            <w:pPr>
              <w:spacing w:line="520" w:lineRule="exact"/>
              <w:ind w:firstLine="462" w:firstLineChars="200"/>
              <w:rPr>
                <w:color w:val="000000"/>
                <w:sz w:val="24"/>
                <w:szCs w:val="24"/>
              </w:rPr>
            </w:pPr>
            <w:r>
              <w:rPr>
                <w:rFonts w:hint="eastAsia" w:ascii="宋体" w:hAnsi="宋体" w:eastAsia="宋体" w:cs="宋体"/>
                <w:sz w:val="24"/>
                <w:szCs w:val="24"/>
              </w:rPr>
              <w:t>超标因子</w:t>
            </w:r>
            <w:r>
              <w:rPr>
                <w:rFonts w:hint="eastAsia"/>
                <w:color w:val="000000"/>
                <w:sz w:val="24"/>
                <w:szCs w:val="24"/>
              </w:rPr>
              <w:t>五日生化需氧量</w:t>
            </w:r>
            <w:r>
              <w:rPr>
                <w:color w:val="000000"/>
                <w:sz w:val="24"/>
                <w:szCs w:val="24"/>
              </w:rPr>
              <w:t>、总磷</w:t>
            </w:r>
            <w:r>
              <w:rPr>
                <w:rFonts w:hint="eastAsia" w:ascii="宋体" w:hAnsi="宋体" w:eastAsia="宋体" w:cs="宋体"/>
                <w:sz w:val="24"/>
                <w:szCs w:val="24"/>
              </w:rPr>
              <w:t>超标率均为100%，超标因子：主要受居民排放生活污水影响，水体污染负荷加重，特别是居民生活过程中洗涤剂的大量使用，部分水体呈现富营养化。水体周边几乎都为耕地，耕地大量使用氮肥、磷肥、农药和生物激素，农业面源污染较为严重，加重了水体污染，水生生态环境进一步恶化。</w:t>
            </w:r>
          </w:p>
          <w:p>
            <w:pPr>
              <w:spacing w:line="520" w:lineRule="exact"/>
              <w:ind w:firstLine="462" w:firstLineChars="200"/>
              <w:rPr>
                <w:b/>
                <w:color w:val="000000"/>
                <w:sz w:val="24"/>
                <w:szCs w:val="24"/>
              </w:rPr>
            </w:pPr>
            <w:r>
              <w:rPr>
                <w:rFonts w:hint="eastAsia"/>
                <w:b/>
                <w:color w:val="000000"/>
                <w:sz w:val="24"/>
                <w:szCs w:val="24"/>
              </w:rPr>
              <w:t>3、声</w:t>
            </w:r>
            <w:r>
              <w:rPr>
                <w:b/>
                <w:color w:val="000000"/>
                <w:sz w:val="24"/>
                <w:szCs w:val="24"/>
              </w:rPr>
              <w:t>环境质量</w:t>
            </w:r>
            <w:r>
              <w:rPr>
                <w:rFonts w:hint="eastAsia"/>
                <w:b/>
                <w:color w:val="000000"/>
                <w:sz w:val="24"/>
                <w:szCs w:val="24"/>
              </w:rPr>
              <w:t>现状</w:t>
            </w:r>
          </w:p>
          <w:p>
            <w:pPr>
              <w:pStyle w:val="9"/>
              <w:snapToGrid w:val="0"/>
              <w:spacing w:line="520" w:lineRule="exact"/>
              <w:ind w:firstLine="462" w:firstLineChars="200"/>
              <w:contextualSpacing/>
              <w:rPr>
                <w:rFonts w:ascii="Times New Roman" w:hAnsi="Times New Roman"/>
                <w:color w:val="000000"/>
                <w:sz w:val="24"/>
              </w:rPr>
            </w:pPr>
            <w:r>
              <w:rPr>
                <w:rFonts w:ascii="Times New Roman" w:hAnsi="Times New Roman"/>
                <w:color w:val="000000"/>
                <w:sz w:val="24"/>
              </w:rPr>
              <w:t>监测布点：为了解本项目区域的声环境质量现状，201</w:t>
            </w:r>
            <w:r>
              <w:rPr>
                <w:rFonts w:hint="eastAsia" w:ascii="Times New Roman" w:hAnsi="Times New Roman"/>
                <w:color w:val="000000"/>
                <w:sz w:val="24"/>
              </w:rPr>
              <w:t>8</w:t>
            </w:r>
            <w:r>
              <w:rPr>
                <w:rFonts w:ascii="Times New Roman" w:hAnsi="Times New Roman"/>
                <w:color w:val="000000"/>
                <w:sz w:val="24"/>
              </w:rPr>
              <w:t>年</w:t>
            </w:r>
            <w:r>
              <w:rPr>
                <w:rFonts w:hint="eastAsia" w:ascii="Times New Roman" w:hAnsi="Times New Roman"/>
                <w:color w:val="000000"/>
                <w:sz w:val="24"/>
              </w:rPr>
              <w:t>5</w:t>
            </w:r>
            <w:r>
              <w:rPr>
                <w:rFonts w:ascii="Times New Roman" w:hAnsi="Times New Roman"/>
                <w:color w:val="000000"/>
                <w:sz w:val="24"/>
              </w:rPr>
              <w:t>月委托</w:t>
            </w:r>
            <w:r>
              <w:rPr>
                <w:rFonts w:hint="eastAsia" w:ascii="Times New Roman" w:hAnsi="Times New Roman"/>
                <w:color w:val="000000"/>
                <w:sz w:val="24"/>
              </w:rPr>
              <w:t>长沙崇德检测科技有限公司</w:t>
            </w:r>
            <w:r>
              <w:rPr>
                <w:rFonts w:ascii="Times New Roman" w:hAnsi="Times New Roman"/>
                <w:color w:val="000000"/>
                <w:sz w:val="24"/>
              </w:rPr>
              <w:t>在本项目场址周围进行了噪声现场监测。</w:t>
            </w:r>
          </w:p>
          <w:p>
            <w:pPr>
              <w:pStyle w:val="9"/>
              <w:snapToGrid w:val="0"/>
              <w:spacing w:line="520" w:lineRule="exact"/>
              <w:ind w:firstLine="462" w:firstLineChars="200"/>
              <w:contextualSpacing/>
              <w:rPr>
                <w:rFonts w:ascii="Times New Roman" w:hAnsi="Times New Roman"/>
                <w:color w:val="000000"/>
                <w:sz w:val="24"/>
              </w:rPr>
            </w:pPr>
            <w:r>
              <w:rPr>
                <w:rFonts w:ascii="Times New Roman" w:hAnsi="Times New Roman"/>
                <w:color w:val="000000"/>
                <w:sz w:val="24"/>
              </w:rPr>
              <w:t>（</w:t>
            </w:r>
            <w:r>
              <w:rPr>
                <w:rFonts w:hint="eastAsia" w:ascii="Times New Roman" w:hAnsi="Times New Roman"/>
                <w:color w:val="000000"/>
                <w:sz w:val="24"/>
              </w:rPr>
              <w:t>1</w:t>
            </w:r>
            <w:r>
              <w:rPr>
                <w:rFonts w:ascii="Times New Roman" w:hAnsi="Times New Roman"/>
                <w:color w:val="000000"/>
                <w:sz w:val="24"/>
              </w:rPr>
              <w:t>）监测因子</w:t>
            </w:r>
          </w:p>
          <w:p>
            <w:pPr>
              <w:pStyle w:val="9"/>
              <w:snapToGrid w:val="0"/>
              <w:spacing w:line="520" w:lineRule="exact"/>
              <w:ind w:firstLine="462" w:firstLineChars="200"/>
              <w:contextualSpacing/>
              <w:rPr>
                <w:rFonts w:ascii="Times New Roman" w:hAnsi="Times New Roman"/>
                <w:color w:val="000000"/>
                <w:sz w:val="24"/>
              </w:rPr>
            </w:pPr>
            <w:r>
              <w:rPr>
                <w:rFonts w:ascii="Times New Roman" w:hAnsi="Times New Roman"/>
                <w:color w:val="000000"/>
                <w:sz w:val="24"/>
              </w:rPr>
              <w:t>监测项目：等效连续A声级LAeq。</w:t>
            </w:r>
          </w:p>
          <w:p>
            <w:pPr>
              <w:pStyle w:val="9"/>
              <w:snapToGrid w:val="0"/>
              <w:spacing w:line="520" w:lineRule="exact"/>
              <w:ind w:firstLine="462" w:firstLineChars="200"/>
              <w:contextualSpacing/>
              <w:rPr>
                <w:rFonts w:ascii="Times New Roman" w:hAnsi="Times New Roman"/>
                <w:color w:val="000000"/>
                <w:sz w:val="24"/>
              </w:rPr>
            </w:pPr>
            <w:r>
              <w:rPr>
                <w:rFonts w:hint="eastAsia" w:ascii="Times New Roman" w:hAnsi="Times New Roman"/>
                <w:color w:val="000000"/>
                <w:sz w:val="24"/>
              </w:rPr>
              <w:t>（2）</w:t>
            </w:r>
            <w:r>
              <w:rPr>
                <w:rFonts w:ascii="Times New Roman" w:hAnsi="Times New Roman"/>
                <w:color w:val="000000"/>
                <w:sz w:val="24"/>
              </w:rPr>
              <w:t>监测频次</w:t>
            </w:r>
          </w:p>
          <w:p>
            <w:pPr>
              <w:pStyle w:val="9"/>
              <w:snapToGrid w:val="0"/>
              <w:spacing w:line="520" w:lineRule="exact"/>
              <w:ind w:firstLine="462" w:firstLineChars="200"/>
              <w:contextualSpacing/>
              <w:rPr>
                <w:rFonts w:ascii="Times New Roman" w:hAnsi="Times New Roman"/>
                <w:color w:val="000000"/>
                <w:sz w:val="24"/>
              </w:rPr>
            </w:pPr>
            <w:r>
              <w:rPr>
                <w:rFonts w:ascii="Times New Roman" w:hAnsi="Times New Roman"/>
                <w:color w:val="000000"/>
                <w:sz w:val="24"/>
              </w:rPr>
              <w:t>监测频次：连续监测2天，分昼间和夜间两个时段，各测一次。</w:t>
            </w:r>
          </w:p>
          <w:p>
            <w:pPr>
              <w:pStyle w:val="9"/>
              <w:snapToGrid w:val="0"/>
              <w:spacing w:line="520" w:lineRule="exact"/>
              <w:ind w:firstLine="462" w:firstLineChars="200"/>
              <w:contextualSpacing/>
              <w:rPr>
                <w:rFonts w:ascii="Times New Roman" w:hAnsi="Times New Roman"/>
                <w:color w:val="000000"/>
                <w:sz w:val="24"/>
              </w:rPr>
            </w:pPr>
            <w:r>
              <w:rPr>
                <w:rFonts w:ascii="Times New Roman" w:hAnsi="Times New Roman"/>
                <w:color w:val="000000"/>
                <w:sz w:val="24"/>
              </w:rPr>
              <w:t>（</w:t>
            </w:r>
            <w:r>
              <w:rPr>
                <w:rFonts w:hint="eastAsia" w:ascii="Times New Roman" w:hAnsi="Times New Roman"/>
                <w:color w:val="000000"/>
                <w:sz w:val="24"/>
              </w:rPr>
              <w:t>3</w:t>
            </w:r>
            <w:r>
              <w:rPr>
                <w:rFonts w:ascii="Times New Roman" w:hAnsi="Times New Roman"/>
                <w:color w:val="000000"/>
                <w:sz w:val="24"/>
              </w:rPr>
              <w:t>）具体监测结果如下表3-</w:t>
            </w:r>
            <w:r>
              <w:rPr>
                <w:rFonts w:hint="eastAsia" w:ascii="Times New Roman" w:hAnsi="Times New Roman"/>
                <w:color w:val="000000"/>
                <w:sz w:val="24"/>
              </w:rPr>
              <w:t>4</w:t>
            </w:r>
            <w:r>
              <w:rPr>
                <w:rFonts w:ascii="Times New Roman" w:hAnsi="Times New Roman"/>
                <w:color w:val="000000"/>
                <w:sz w:val="24"/>
              </w:rPr>
              <w:t>所示：</w:t>
            </w:r>
          </w:p>
          <w:p>
            <w:pPr>
              <w:pStyle w:val="9"/>
              <w:snapToGrid w:val="0"/>
              <w:spacing w:line="520" w:lineRule="exact"/>
              <w:contextualSpacing/>
              <w:jc w:val="center"/>
              <w:rPr>
                <w:rFonts w:ascii="Times New Roman" w:hAnsi="Times New Roman"/>
                <w:b/>
                <w:color w:val="000000"/>
                <w:sz w:val="24"/>
              </w:rPr>
            </w:pPr>
            <w:bookmarkStart w:id="5" w:name="_Ref340763147"/>
            <w:r>
              <w:rPr>
                <w:rFonts w:ascii="Times New Roman" w:hAnsi="Times New Roman"/>
                <w:b/>
                <w:color w:val="000000"/>
                <w:sz w:val="24"/>
              </w:rPr>
              <w:t>表</w:t>
            </w:r>
            <w:r>
              <w:rPr>
                <w:rFonts w:hint="eastAsia" w:ascii="Times New Roman" w:hAnsi="Times New Roman"/>
                <w:b/>
                <w:color w:val="000000"/>
                <w:sz w:val="24"/>
              </w:rPr>
              <w:t>3-4</w:t>
            </w:r>
            <w:r>
              <w:rPr>
                <w:rFonts w:ascii="Times New Roman" w:hAnsi="Times New Roman"/>
                <w:b/>
                <w:color w:val="000000"/>
                <w:sz w:val="24"/>
              </w:rPr>
              <w:t xml:space="preserve">  声环境现状监测结果  （dB</w:t>
            </w:r>
            <w:r>
              <w:rPr>
                <w:rFonts w:hint="eastAsia" w:ascii="Times New Roman" w:hAnsi="Times New Roman"/>
                <w:b/>
                <w:color w:val="000000"/>
                <w:sz w:val="24"/>
              </w:rPr>
              <w:t>（</w:t>
            </w:r>
            <w:r>
              <w:rPr>
                <w:rFonts w:ascii="Times New Roman" w:hAnsi="Times New Roman"/>
                <w:b/>
                <w:color w:val="000000"/>
                <w:sz w:val="24"/>
              </w:rPr>
              <w:t>A</w:t>
            </w:r>
            <w:r>
              <w:rPr>
                <w:rFonts w:hint="eastAsia" w:ascii="Times New Roman" w:hAnsi="Times New Roman"/>
                <w:b/>
                <w:color w:val="000000"/>
                <w:sz w:val="24"/>
              </w:rPr>
              <w:t>）</w:t>
            </w:r>
            <w:r>
              <w:rPr>
                <w:rFonts w:ascii="Times New Roman" w:hAnsi="Times New Roman"/>
                <w:b/>
                <w:color w:val="000000"/>
                <w:sz w:val="24"/>
              </w:rPr>
              <w:t>）</w:t>
            </w:r>
          </w:p>
          <w:tbl>
            <w:tblPr>
              <w:tblStyle w:val="19"/>
              <w:tblW w:w="9074"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03"/>
              <w:gridCol w:w="1276"/>
              <w:gridCol w:w="1276"/>
              <w:gridCol w:w="1134"/>
              <w:gridCol w:w="1276"/>
              <w:gridCol w:w="1275"/>
              <w:gridCol w:w="11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2" w:hRule="atLeast"/>
                <w:jc w:val="center"/>
              </w:trPr>
              <w:tc>
                <w:tcPr>
                  <w:tcW w:w="1703" w:type="dxa"/>
                  <w:vMerge w:val="restart"/>
                  <w:tcBorders>
                    <w:tl2br w:val="nil"/>
                    <w:tr2bl w:val="nil"/>
                  </w:tcBorders>
                  <w:vAlign w:val="center"/>
                </w:tcPr>
                <w:p>
                  <w:pPr>
                    <w:snapToGrid w:val="0"/>
                    <w:spacing w:line="360" w:lineRule="exact"/>
                    <w:jc w:val="center"/>
                    <w:rPr>
                      <w:color w:val="000000"/>
                      <w:szCs w:val="21"/>
                    </w:rPr>
                  </w:pPr>
                  <w:r>
                    <w:rPr>
                      <w:color w:val="000000"/>
                      <w:szCs w:val="21"/>
                    </w:rPr>
                    <w:t>监测时间</w:t>
                  </w:r>
                </w:p>
                <w:p>
                  <w:pPr>
                    <w:snapToGrid w:val="0"/>
                    <w:spacing w:line="360" w:lineRule="exact"/>
                    <w:jc w:val="center"/>
                    <w:rPr>
                      <w:color w:val="000000"/>
                      <w:szCs w:val="21"/>
                    </w:rPr>
                  </w:pPr>
                  <w:r>
                    <w:rPr>
                      <w:color w:val="000000"/>
                      <w:szCs w:val="21"/>
                    </w:rPr>
                    <w:t>监测点</w:t>
                  </w:r>
                </w:p>
              </w:tc>
              <w:tc>
                <w:tcPr>
                  <w:tcW w:w="3686" w:type="dxa"/>
                  <w:gridSpan w:val="3"/>
                  <w:tcBorders>
                    <w:tl2br w:val="nil"/>
                    <w:tr2bl w:val="nil"/>
                  </w:tcBorders>
                  <w:vAlign w:val="center"/>
                </w:tcPr>
                <w:p>
                  <w:pPr>
                    <w:snapToGrid w:val="0"/>
                    <w:spacing w:line="360" w:lineRule="exact"/>
                    <w:jc w:val="center"/>
                    <w:rPr>
                      <w:color w:val="000000"/>
                      <w:szCs w:val="21"/>
                    </w:rPr>
                  </w:pPr>
                  <w:r>
                    <w:rPr>
                      <w:color w:val="000000"/>
                      <w:szCs w:val="21"/>
                    </w:rPr>
                    <w:t>昼间</w:t>
                  </w:r>
                </w:p>
              </w:tc>
              <w:tc>
                <w:tcPr>
                  <w:tcW w:w="3685" w:type="dxa"/>
                  <w:gridSpan w:val="3"/>
                  <w:tcBorders>
                    <w:tl2br w:val="nil"/>
                    <w:tr2bl w:val="nil"/>
                  </w:tcBorders>
                  <w:vAlign w:val="center"/>
                </w:tcPr>
                <w:p>
                  <w:pPr>
                    <w:snapToGrid w:val="0"/>
                    <w:spacing w:line="360" w:lineRule="exact"/>
                    <w:jc w:val="center"/>
                    <w:rPr>
                      <w:color w:val="000000"/>
                      <w:szCs w:val="21"/>
                    </w:rPr>
                  </w:pPr>
                  <w:r>
                    <w:rPr>
                      <w:color w:val="000000"/>
                      <w:szCs w:val="21"/>
                    </w:rP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vMerge w:val="continue"/>
                  <w:tcBorders>
                    <w:bottom w:val="single" w:color="000000" w:sz="4" w:space="0"/>
                    <w:tl2br w:val="nil"/>
                    <w:tr2bl w:val="nil"/>
                  </w:tcBorders>
                  <w:vAlign w:val="center"/>
                </w:tcPr>
                <w:p>
                  <w:pPr>
                    <w:snapToGrid w:val="0"/>
                    <w:spacing w:line="360" w:lineRule="exact"/>
                    <w:jc w:val="center"/>
                    <w:rPr>
                      <w:color w:val="000000"/>
                      <w:szCs w:val="21"/>
                    </w:rPr>
                  </w:pPr>
                </w:p>
              </w:tc>
              <w:tc>
                <w:tcPr>
                  <w:tcW w:w="1276" w:type="dxa"/>
                  <w:tcBorders>
                    <w:tl2br w:val="nil"/>
                    <w:tr2bl w:val="nil"/>
                  </w:tcBorders>
                  <w:vAlign w:val="center"/>
                </w:tcPr>
                <w:p>
                  <w:pPr>
                    <w:snapToGrid w:val="0"/>
                    <w:spacing w:line="360" w:lineRule="exact"/>
                    <w:jc w:val="center"/>
                    <w:rPr>
                      <w:color w:val="000000"/>
                      <w:szCs w:val="21"/>
                    </w:rPr>
                  </w:pPr>
                  <w:r>
                    <w:rPr>
                      <w:color w:val="000000"/>
                      <w:szCs w:val="21"/>
                    </w:rPr>
                    <w:t>201</w:t>
                  </w:r>
                  <w:r>
                    <w:rPr>
                      <w:rFonts w:hint="eastAsia"/>
                      <w:color w:val="000000"/>
                      <w:szCs w:val="21"/>
                    </w:rPr>
                    <w:t>8</w:t>
                  </w:r>
                  <w:r>
                    <w:rPr>
                      <w:color w:val="000000"/>
                      <w:szCs w:val="21"/>
                    </w:rPr>
                    <w:t>.</w:t>
                  </w:r>
                  <w:r>
                    <w:rPr>
                      <w:rFonts w:hint="eastAsia"/>
                      <w:color w:val="000000"/>
                      <w:szCs w:val="21"/>
                    </w:rPr>
                    <w:t>5</w:t>
                  </w:r>
                  <w:r>
                    <w:rPr>
                      <w:color w:val="000000"/>
                      <w:szCs w:val="21"/>
                    </w:rPr>
                    <w:t>.</w:t>
                  </w:r>
                  <w:r>
                    <w:rPr>
                      <w:rFonts w:hint="eastAsia"/>
                      <w:color w:val="000000"/>
                      <w:szCs w:val="21"/>
                    </w:rPr>
                    <w:t>17</w:t>
                  </w:r>
                </w:p>
              </w:tc>
              <w:tc>
                <w:tcPr>
                  <w:tcW w:w="1276" w:type="dxa"/>
                  <w:tcBorders>
                    <w:tl2br w:val="nil"/>
                    <w:tr2bl w:val="nil"/>
                  </w:tcBorders>
                  <w:vAlign w:val="center"/>
                </w:tcPr>
                <w:p>
                  <w:pPr>
                    <w:snapToGrid w:val="0"/>
                    <w:spacing w:line="360" w:lineRule="exact"/>
                    <w:jc w:val="center"/>
                    <w:rPr>
                      <w:color w:val="000000"/>
                      <w:szCs w:val="21"/>
                    </w:rPr>
                  </w:pPr>
                  <w:r>
                    <w:rPr>
                      <w:color w:val="000000"/>
                      <w:szCs w:val="21"/>
                    </w:rPr>
                    <w:t>201</w:t>
                  </w:r>
                  <w:r>
                    <w:rPr>
                      <w:rFonts w:hint="eastAsia"/>
                      <w:color w:val="000000"/>
                      <w:szCs w:val="21"/>
                    </w:rPr>
                    <w:t>8</w:t>
                  </w:r>
                  <w:r>
                    <w:rPr>
                      <w:color w:val="000000"/>
                      <w:szCs w:val="21"/>
                    </w:rPr>
                    <w:t>.</w:t>
                  </w:r>
                  <w:r>
                    <w:rPr>
                      <w:rFonts w:hint="eastAsia"/>
                      <w:color w:val="000000"/>
                      <w:szCs w:val="21"/>
                    </w:rPr>
                    <w:t>5</w:t>
                  </w:r>
                  <w:r>
                    <w:rPr>
                      <w:color w:val="000000"/>
                      <w:szCs w:val="21"/>
                    </w:rPr>
                    <w:t>.</w:t>
                  </w:r>
                  <w:r>
                    <w:rPr>
                      <w:rFonts w:hint="eastAsia"/>
                      <w:color w:val="000000"/>
                      <w:szCs w:val="21"/>
                    </w:rPr>
                    <w:t>18</w:t>
                  </w:r>
                </w:p>
              </w:tc>
              <w:tc>
                <w:tcPr>
                  <w:tcW w:w="1134" w:type="dxa"/>
                  <w:tcBorders>
                    <w:tl2br w:val="nil"/>
                    <w:tr2bl w:val="nil"/>
                  </w:tcBorders>
                  <w:vAlign w:val="center"/>
                </w:tcPr>
                <w:p>
                  <w:pPr>
                    <w:snapToGrid w:val="0"/>
                    <w:spacing w:line="360" w:lineRule="exact"/>
                    <w:jc w:val="center"/>
                    <w:rPr>
                      <w:color w:val="000000"/>
                      <w:szCs w:val="21"/>
                    </w:rPr>
                  </w:pPr>
                  <w:r>
                    <w:rPr>
                      <w:color w:val="000000"/>
                      <w:szCs w:val="21"/>
                    </w:rPr>
                    <w:t>评价标准</w:t>
                  </w:r>
                </w:p>
              </w:tc>
              <w:tc>
                <w:tcPr>
                  <w:tcW w:w="1276" w:type="dxa"/>
                  <w:tcBorders>
                    <w:tl2br w:val="nil"/>
                    <w:tr2bl w:val="nil"/>
                  </w:tcBorders>
                  <w:vAlign w:val="center"/>
                </w:tcPr>
                <w:p>
                  <w:pPr>
                    <w:snapToGrid w:val="0"/>
                    <w:spacing w:line="360" w:lineRule="exact"/>
                    <w:jc w:val="center"/>
                    <w:rPr>
                      <w:color w:val="000000"/>
                      <w:szCs w:val="21"/>
                    </w:rPr>
                  </w:pPr>
                  <w:r>
                    <w:rPr>
                      <w:color w:val="000000"/>
                      <w:szCs w:val="21"/>
                    </w:rPr>
                    <w:t>201</w:t>
                  </w:r>
                  <w:r>
                    <w:rPr>
                      <w:rFonts w:hint="eastAsia"/>
                      <w:color w:val="000000"/>
                      <w:szCs w:val="21"/>
                    </w:rPr>
                    <w:t>8</w:t>
                  </w:r>
                  <w:r>
                    <w:rPr>
                      <w:color w:val="000000"/>
                      <w:szCs w:val="21"/>
                    </w:rPr>
                    <w:t>.</w:t>
                  </w:r>
                  <w:r>
                    <w:rPr>
                      <w:rFonts w:hint="eastAsia"/>
                      <w:color w:val="000000"/>
                      <w:szCs w:val="21"/>
                    </w:rPr>
                    <w:t>5</w:t>
                  </w:r>
                  <w:r>
                    <w:rPr>
                      <w:color w:val="000000"/>
                      <w:szCs w:val="21"/>
                    </w:rPr>
                    <w:t>.</w:t>
                  </w:r>
                  <w:r>
                    <w:rPr>
                      <w:rFonts w:hint="eastAsia"/>
                      <w:color w:val="000000"/>
                      <w:szCs w:val="21"/>
                    </w:rPr>
                    <w:t>17</w:t>
                  </w:r>
                </w:p>
              </w:tc>
              <w:tc>
                <w:tcPr>
                  <w:tcW w:w="1275" w:type="dxa"/>
                  <w:tcBorders>
                    <w:tl2br w:val="nil"/>
                    <w:tr2bl w:val="nil"/>
                  </w:tcBorders>
                  <w:vAlign w:val="center"/>
                </w:tcPr>
                <w:p>
                  <w:pPr>
                    <w:snapToGrid w:val="0"/>
                    <w:spacing w:line="360" w:lineRule="exact"/>
                    <w:jc w:val="center"/>
                    <w:rPr>
                      <w:color w:val="000000"/>
                      <w:szCs w:val="21"/>
                    </w:rPr>
                  </w:pPr>
                  <w:r>
                    <w:rPr>
                      <w:color w:val="000000"/>
                      <w:szCs w:val="21"/>
                    </w:rPr>
                    <w:t>201</w:t>
                  </w:r>
                  <w:r>
                    <w:rPr>
                      <w:rFonts w:hint="eastAsia"/>
                      <w:color w:val="000000"/>
                      <w:szCs w:val="21"/>
                    </w:rPr>
                    <w:t>8</w:t>
                  </w:r>
                  <w:r>
                    <w:rPr>
                      <w:color w:val="000000"/>
                      <w:szCs w:val="21"/>
                    </w:rPr>
                    <w:t>.</w:t>
                  </w:r>
                  <w:r>
                    <w:rPr>
                      <w:rFonts w:hint="eastAsia"/>
                      <w:color w:val="000000"/>
                      <w:szCs w:val="21"/>
                    </w:rPr>
                    <w:t>5</w:t>
                  </w:r>
                  <w:r>
                    <w:rPr>
                      <w:color w:val="000000"/>
                      <w:szCs w:val="21"/>
                    </w:rPr>
                    <w:t>.</w:t>
                  </w:r>
                  <w:r>
                    <w:rPr>
                      <w:rFonts w:hint="eastAsia"/>
                      <w:color w:val="000000"/>
                      <w:szCs w:val="21"/>
                    </w:rPr>
                    <w:t>18</w:t>
                  </w:r>
                </w:p>
              </w:tc>
              <w:tc>
                <w:tcPr>
                  <w:tcW w:w="1134" w:type="dxa"/>
                  <w:tcBorders>
                    <w:tl2br w:val="nil"/>
                    <w:tr2bl w:val="nil"/>
                  </w:tcBorders>
                  <w:vAlign w:val="center"/>
                </w:tcPr>
                <w:p>
                  <w:pPr>
                    <w:snapToGrid w:val="0"/>
                    <w:spacing w:line="360" w:lineRule="exact"/>
                    <w:jc w:val="center"/>
                    <w:rPr>
                      <w:color w:val="000000"/>
                      <w:szCs w:val="21"/>
                    </w:rPr>
                  </w:pPr>
                  <w:r>
                    <w:rPr>
                      <w:color w:val="000000"/>
                      <w:szCs w:val="21"/>
                    </w:rPr>
                    <w:t>评价标准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op w:val="single" w:color="000000" w:sz="4" w:space="0"/>
                    <w:tl2br w:val="nil"/>
                    <w:tr2bl w:val="nil"/>
                  </w:tcBorders>
                  <w:vAlign w:val="center"/>
                </w:tcPr>
                <w:p>
                  <w:pPr>
                    <w:jc w:val="center"/>
                    <w:rPr>
                      <w:color w:val="000000"/>
                      <w:szCs w:val="21"/>
                    </w:rPr>
                  </w:pPr>
                  <w:r>
                    <w:rPr>
                      <w:rFonts w:hint="eastAsia"/>
                      <w:bCs/>
                      <w:szCs w:val="21"/>
                    </w:rPr>
                    <w:t>望城社区</w:t>
                  </w:r>
                </w:p>
              </w:tc>
              <w:tc>
                <w:tcPr>
                  <w:tcW w:w="1276" w:type="dxa"/>
                  <w:tcBorders>
                    <w:tl2br w:val="nil"/>
                    <w:tr2bl w:val="nil"/>
                  </w:tcBorders>
                  <w:vAlign w:val="center"/>
                </w:tcPr>
                <w:p>
                  <w:pPr>
                    <w:jc w:val="center"/>
                    <w:rPr>
                      <w:color w:val="000000"/>
                      <w:szCs w:val="21"/>
                    </w:rPr>
                  </w:pPr>
                  <w:r>
                    <w:rPr>
                      <w:rFonts w:hint="eastAsia"/>
                      <w:bCs/>
                      <w:szCs w:val="21"/>
                    </w:rPr>
                    <w:t>53.2</w:t>
                  </w:r>
                </w:p>
              </w:tc>
              <w:tc>
                <w:tcPr>
                  <w:tcW w:w="1276" w:type="dxa"/>
                  <w:tcBorders>
                    <w:tl2br w:val="nil"/>
                    <w:tr2bl w:val="nil"/>
                  </w:tcBorders>
                  <w:vAlign w:val="center"/>
                </w:tcPr>
                <w:p>
                  <w:pPr>
                    <w:jc w:val="center"/>
                    <w:rPr>
                      <w:color w:val="000000"/>
                      <w:szCs w:val="21"/>
                    </w:rPr>
                  </w:pPr>
                  <w:r>
                    <w:rPr>
                      <w:rFonts w:hint="eastAsia"/>
                      <w:bCs/>
                      <w:szCs w:val="21"/>
                    </w:rPr>
                    <w:t>50.1</w:t>
                  </w:r>
                </w:p>
              </w:tc>
              <w:tc>
                <w:tcPr>
                  <w:tcW w:w="1134" w:type="dxa"/>
                  <w:vMerge w:val="restart"/>
                  <w:tcBorders>
                    <w:tl2br w:val="nil"/>
                    <w:tr2bl w:val="nil"/>
                  </w:tcBorders>
                  <w:vAlign w:val="center"/>
                </w:tcPr>
                <w:p>
                  <w:pPr>
                    <w:pStyle w:val="6"/>
                    <w:wordWrap w:val="0"/>
                    <w:topLinePunct/>
                    <w:adjustRightInd w:val="0"/>
                    <w:snapToGrid w:val="0"/>
                    <w:jc w:val="center"/>
                    <w:rPr>
                      <w:color w:val="000000"/>
                      <w:szCs w:val="21"/>
                    </w:rPr>
                  </w:pPr>
                  <w:r>
                    <w:rPr>
                      <w:color w:val="000000"/>
                      <w:szCs w:val="21"/>
                    </w:rPr>
                    <w:t>60</w:t>
                  </w:r>
                </w:p>
              </w:tc>
              <w:tc>
                <w:tcPr>
                  <w:tcW w:w="1276" w:type="dxa"/>
                  <w:tcBorders>
                    <w:tl2br w:val="nil"/>
                    <w:tr2bl w:val="nil"/>
                  </w:tcBorders>
                  <w:vAlign w:val="center"/>
                </w:tcPr>
                <w:p>
                  <w:pPr>
                    <w:jc w:val="center"/>
                    <w:rPr>
                      <w:color w:val="000000"/>
                      <w:szCs w:val="21"/>
                    </w:rPr>
                  </w:pPr>
                  <w:r>
                    <w:rPr>
                      <w:rFonts w:hint="eastAsia"/>
                      <w:bCs/>
                      <w:szCs w:val="21"/>
                    </w:rPr>
                    <w:t>42.0</w:t>
                  </w:r>
                </w:p>
              </w:tc>
              <w:tc>
                <w:tcPr>
                  <w:tcW w:w="1275" w:type="dxa"/>
                  <w:tcBorders>
                    <w:tl2br w:val="nil"/>
                    <w:tr2bl w:val="nil"/>
                  </w:tcBorders>
                  <w:vAlign w:val="center"/>
                </w:tcPr>
                <w:p>
                  <w:pPr>
                    <w:jc w:val="center"/>
                    <w:rPr>
                      <w:color w:val="000000"/>
                      <w:szCs w:val="21"/>
                    </w:rPr>
                  </w:pPr>
                  <w:r>
                    <w:rPr>
                      <w:rFonts w:hint="eastAsia"/>
                      <w:bCs/>
                      <w:szCs w:val="21"/>
                    </w:rPr>
                    <w:t>45.4</w:t>
                  </w:r>
                </w:p>
              </w:tc>
              <w:tc>
                <w:tcPr>
                  <w:tcW w:w="1134" w:type="dxa"/>
                  <w:vMerge w:val="restart"/>
                  <w:tcBorders>
                    <w:tl2br w:val="nil"/>
                    <w:tr2bl w:val="nil"/>
                  </w:tcBorders>
                  <w:vAlign w:val="center"/>
                </w:tcPr>
                <w:p>
                  <w:pPr>
                    <w:pStyle w:val="6"/>
                    <w:wordWrap w:val="0"/>
                    <w:topLinePunct/>
                    <w:adjustRightInd w:val="0"/>
                    <w:snapToGrid w:val="0"/>
                    <w:jc w:val="center"/>
                    <w:rPr>
                      <w:color w:val="000000"/>
                      <w:szCs w:val="21"/>
                    </w:rPr>
                  </w:pPr>
                  <w:r>
                    <w:rPr>
                      <w:color w:val="000000"/>
                      <w:szCs w:val="21"/>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平塘</w:t>
                  </w:r>
                </w:p>
              </w:tc>
              <w:tc>
                <w:tcPr>
                  <w:tcW w:w="1276" w:type="dxa"/>
                  <w:tcBorders>
                    <w:tl2br w:val="nil"/>
                    <w:tr2bl w:val="nil"/>
                  </w:tcBorders>
                  <w:vAlign w:val="center"/>
                </w:tcPr>
                <w:p>
                  <w:pPr>
                    <w:jc w:val="center"/>
                    <w:rPr>
                      <w:color w:val="000000"/>
                      <w:szCs w:val="21"/>
                    </w:rPr>
                  </w:pPr>
                  <w:r>
                    <w:rPr>
                      <w:rFonts w:hint="eastAsia"/>
                      <w:bCs/>
                      <w:szCs w:val="21"/>
                    </w:rPr>
                    <w:t>50.3</w:t>
                  </w:r>
                </w:p>
              </w:tc>
              <w:tc>
                <w:tcPr>
                  <w:tcW w:w="1276" w:type="dxa"/>
                  <w:tcBorders>
                    <w:tl2br w:val="nil"/>
                    <w:tr2bl w:val="nil"/>
                  </w:tcBorders>
                  <w:vAlign w:val="center"/>
                </w:tcPr>
                <w:p>
                  <w:pPr>
                    <w:jc w:val="center"/>
                    <w:rPr>
                      <w:color w:val="000000"/>
                      <w:szCs w:val="21"/>
                    </w:rPr>
                  </w:pPr>
                  <w:r>
                    <w:rPr>
                      <w:rFonts w:hint="eastAsia"/>
                      <w:bCs/>
                      <w:szCs w:val="21"/>
                    </w:rPr>
                    <w:t>51.8</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43.3</w:t>
                  </w:r>
                </w:p>
              </w:tc>
              <w:tc>
                <w:tcPr>
                  <w:tcW w:w="1275" w:type="dxa"/>
                  <w:tcBorders>
                    <w:tl2br w:val="nil"/>
                    <w:tr2bl w:val="nil"/>
                  </w:tcBorders>
                  <w:vAlign w:val="center"/>
                </w:tcPr>
                <w:p>
                  <w:pPr>
                    <w:jc w:val="center"/>
                    <w:rPr>
                      <w:color w:val="000000"/>
                      <w:szCs w:val="21"/>
                    </w:rPr>
                  </w:pPr>
                  <w:r>
                    <w:rPr>
                      <w:rFonts w:hint="eastAsia"/>
                      <w:bCs/>
                      <w:szCs w:val="21"/>
                    </w:rPr>
                    <w:t>42.2</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君山区人民医院</w:t>
                  </w:r>
                </w:p>
              </w:tc>
              <w:tc>
                <w:tcPr>
                  <w:tcW w:w="1276" w:type="dxa"/>
                  <w:tcBorders>
                    <w:tl2br w:val="nil"/>
                    <w:tr2bl w:val="nil"/>
                  </w:tcBorders>
                  <w:vAlign w:val="center"/>
                </w:tcPr>
                <w:p>
                  <w:pPr>
                    <w:jc w:val="center"/>
                    <w:rPr>
                      <w:color w:val="000000"/>
                      <w:szCs w:val="21"/>
                    </w:rPr>
                  </w:pPr>
                  <w:r>
                    <w:rPr>
                      <w:rFonts w:hint="eastAsia"/>
                      <w:bCs/>
                      <w:szCs w:val="21"/>
                    </w:rPr>
                    <w:t>54.1</w:t>
                  </w:r>
                </w:p>
              </w:tc>
              <w:tc>
                <w:tcPr>
                  <w:tcW w:w="1276" w:type="dxa"/>
                  <w:tcBorders>
                    <w:tl2br w:val="nil"/>
                    <w:tr2bl w:val="nil"/>
                  </w:tcBorders>
                  <w:vAlign w:val="center"/>
                </w:tcPr>
                <w:p>
                  <w:pPr>
                    <w:jc w:val="center"/>
                    <w:rPr>
                      <w:color w:val="000000"/>
                      <w:szCs w:val="21"/>
                    </w:rPr>
                  </w:pPr>
                  <w:r>
                    <w:rPr>
                      <w:rFonts w:hint="eastAsia"/>
                      <w:bCs/>
                      <w:szCs w:val="21"/>
                    </w:rPr>
                    <w:t>53.1</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47.1</w:t>
                  </w:r>
                </w:p>
              </w:tc>
              <w:tc>
                <w:tcPr>
                  <w:tcW w:w="1275" w:type="dxa"/>
                  <w:tcBorders>
                    <w:tl2br w:val="nil"/>
                    <w:tr2bl w:val="nil"/>
                  </w:tcBorders>
                  <w:vAlign w:val="center"/>
                </w:tcPr>
                <w:p>
                  <w:pPr>
                    <w:jc w:val="center"/>
                    <w:rPr>
                      <w:color w:val="000000"/>
                      <w:szCs w:val="21"/>
                    </w:rPr>
                  </w:pPr>
                  <w:r>
                    <w:rPr>
                      <w:rFonts w:hint="eastAsia"/>
                      <w:bCs/>
                      <w:szCs w:val="21"/>
                    </w:rPr>
                    <w:t>45.3</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新洲村</w:t>
                  </w:r>
                </w:p>
              </w:tc>
              <w:tc>
                <w:tcPr>
                  <w:tcW w:w="1276" w:type="dxa"/>
                  <w:tcBorders>
                    <w:tl2br w:val="nil"/>
                    <w:tr2bl w:val="nil"/>
                  </w:tcBorders>
                  <w:vAlign w:val="center"/>
                </w:tcPr>
                <w:p>
                  <w:pPr>
                    <w:jc w:val="center"/>
                    <w:rPr>
                      <w:color w:val="000000"/>
                      <w:szCs w:val="21"/>
                    </w:rPr>
                  </w:pPr>
                  <w:r>
                    <w:rPr>
                      <w:rFonts w:hint="eastAsia"/>
                      <w:bCs/>
                      <w:szCs w:val="21"/>
                    </w:rPr>
                    <w:t>56.3</w:t>
                  </w:r>
                </w:p>
              </w:tc>
              <w:tc>
                <w:tcPr>
                  <w:tcW w:w="1276" w:type="dxa"/>
                  <w:tcBorders>
                    <w:tl2br w:val="nil"/>
                    <w:tr2bl w:val="nil"/>
                  </w:tcBorders>
                  <w:vAlign w:val="center"/>
                </w:tcPr>
                <w:p>
                  <w:pPr>
                    <w:jc w:val="center"/>
                    <w:rPr>
                      <w:color w:val="000000"/>
                      <w:szCs w:val="21"/>
                    </w:rPr>
                  </w:pPr>
                  <w:r>
                    <w:rPr>
                      <w:rFonts w:hint="eastAsia"/>
                      <w:bCs/>
                      <w:szCs w:val="21"/>
                    </w:rPr>
                    <w:t>56.1</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46.3</w:t>
                  </w:r>
                </w:p>
              </w:tc>
              <w:tc>
                <w:tcPr>
                  <w:tcW w:w="1275" w:type="dxa"/>
                  <w:tcBorders>
                    <w:tl2br w:val="nil"/>
                    <w:tr2bl w:val="nil"/>
                  </w:tcBorders>
                  <w:vAlign w:val="center"/>
                </w:tcPr>
                <w:p>
                  <w:pPr>
                    <w:jc w:val="center"/>
                    <w:rPr>
                      <w:color w:val="000000"/>
                      <w:szCs w:val="21"/>
                    </w:rPr>
                  </w:pPr>
                  <w:r>
                    <w:rPr>
                      <w:rFonts w:hint="eastAsia"/>
                      <w:bCs/>
                      <w:szCs w:val="21"/>
                    </w:rPr>
                    <w:t>47.8</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濠河村六组</w:t>
                  </w:r>
                </w:p>
              </w:tc>
              <w:tc>
                <w:tcPr>
                  <w:tcW w:w="1276" w:type="dxa"/>
                  <w:tcBorders>
                    <w:tl2br w:val="nil"/>
                    <w:tr2bl w:val="nil"/>
                  </w:tcBorders>
                  <w:vAlign w:val="center"/>
                </w:tcPr>
                <w:p>
                  <w:pPr>
                    <w:jc w:val="center"/>
                    <w:rPr>
                      <w:color w:val="000000"/>
                      <w:szCs w:val="21"/>
                    </w:rPr>
                  </w:pPr>
                  <w:r>
                    <w:rPr>
                      <w:rFonts w:hint="eastAsia"/>
                      <w:bCs/>
                      <w:szCs w:val="21"/>
                    </w:rPr>
                    <w:t>48.2</w:t>
                  </w:r>
                </w:p>
              </w:tc>
              <w:tc>
                <w:tcPr>
                  <w:tcW w:w="1276" w:type="dxa"/>
                  <w:tcBorders>
                    <w:tl2br w:val="nil"/>
                    <w:tr2bl w:val="nil"/>
                  </w:tcBorders>
                  <w:vAlign w:val="center"/>
                </w:tcPr>
                <w:p>
                  <w:pPr>
                    <w:jc w:val="center"/>
                    <w:rPr>
                      <w:color w:val="000000"/>
                      <w:szCs w:val="21"/>
                    </w:rPr>
                  </w:pPr>
                  <w:r>
                    <w:rPr>
                      <w:rFonts w:hint="eastAsia"/>
                      <w:bCs/>
                      <w:szCs w:val="21"/>
                    </w:rPr>
                    <w:t>54.6</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44.1</w:t>
                  </w:r>
                </w:p>
              </w:tc>
              <w:tc>
                <w:tcPr>
                  <w:tcW w:w="1275" w:type="dxa"/>
                  <w:tcBorders>
                    <w:tl2br w:val="nil"/>
                    <w:tr2bl w:val="nil"/>
                  </w:tcBorders>
                  <w:vAlign w:val="center"/>
                </w:tcPr>
                <w:p>
                  <w:pPr>
                    <w:jc w:val="center"/>
                    <w:rPr>
                      <w:color w:val="000000"/>
                      <w:szCs w:val="21"/>
                    </w:rPr>
                  </w:pPr>
                  <w:r>
                    <w:rPr>
                      <w:rFonts w:hint="eastAsia"/>
                      <w:bCs/>
                      <w:szCs w:val="21"/>
                    </w:rPr>
                    <w:t>41.6</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濠河村二组</w:t>
                  </w:r>
                </w:p>
              </w:tc>
              <w:tc>
                <w:tcPr>
                  <w:tcW w:w="1276" w:type="dxa"/>
                  <w:tcBorders>
                    <w:tl2br w:val="nil"/>
                    <w:tr2bl w:val="nil"/>
                  </w:tcBorders>
                  <w:vAlign w:val="center"/>
                </w:tcPr>
                <w:p>
                  <w:pPr>
                    <w:jc w:val="center"/>
                    <w:rPr>
                      <w:color w:val="000000"/>
                      <w:szCs w:val="21"/>
                    </w:rPr>
                  </w:pPr>
                  <w:r>
                    <w:rPr>
                      <w:rFonts w:hint="eastAsia"/>
                      <w:bCs/>
                      <w:szCs w:val="21"/>
                    </w:rPr>
                    <w:t>48.1</w:t>
                  </w:r>
                </w:p>
              </w:tc>
              <w:tc>
                <w:tcPr>
                  <w:tcW w:w="1276" w:type="dxa"/>
                  <w:tcBorders>
                    <w:tl2br w:val="nil"/>
                    <w:tr2bl w:val="nil"/>
                  </w:tcBorders>
                  <w:vAlign w:val="center"/>
                </w:tcPr>
                <w:p>
                  <w:pPr>
                    <w:jc w:val="center"/>
                    <w:rPr>
                      <w:color w:val="000000"/>
                      <w:szCs w:val="21"/>
                    </w:rPr>
                  </w:pPr>
                  <w:r>
                    <w:rPr>
                      <w:rFonts w:hint="eastAsia"/>
                      <w:bCs/>
                      <w:szCs w:val="21"/>
                    </w:rPr>
                    <w:t>50.2</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43.1</w:t>
                  </w:r>
                </w:p>
              </w:tc>
              <w:tc>
                <w:tcPr>
                  <w:tcW w:w="1275" w:type="dxa"/>
                  <w:tcBorders>
                    <w:tl2br w:val="nil"/>
                    <w:tr2bl w:val="nil"/>
                  </w:tcBorders>
                  <w:vAlign w:val="center"/>
                </w:tcPr>
                <w:p>
                  <w:pPr>
                    <w:jc w:val="center"/>
                    <w:rPr>
                      <w:color w:val="000000"/>
                      <w:szCs w:val="21"/>
                    </w:rPr>
                  </w:pPr>
                  <w:r>
                    <w:rPr>
                      <w:rFonts w:hint="eastAsia"/>
                      <w:bCs/>
                      <w:szCs w:val="21"/>
                    </w:rPr>
                    <w:t>42.2</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color w:val="000000"/>
                      <w:szCs w:val="21"/>
                    </w:rPr>
                  </w:pPr>
                  <w:r>
                    <w:rPr>
                      <w:rFonts w:hint="eastAsia"/>
                      <w:bCs/>
                      <w:szCs w:val="21"/>
                    </w:rPr>
                    <w:t>濠河中学</w:t>
                  </w:r>
                </w:p>
              </w:tc>
              <w:tc>
                <w:tcPr>
                  <w:tcW w:w="1276" w:type="dxa"/>
                  <w:tcBorders>
                    <w:tl2br w:val="nil"/>
                    <w:tr2bl w:val="nil"/>
                  </w:tcBorders>
                  <w:vAlign w:val="center"/>
                </w:tcPr>
                <w:p>
                  <w:pPr>
                    <w:jc w:val="center"/>
                    <w:rPr>
                      <w:color w:val="000000"/>
                      <w:szCs w:val="21"/>
                    </w:rPr>
                  </w:pPr>
                  <w:r>
                    <w:rPr>
                      <w:rFonts w:hint="eastAsia"/>
                      <w:bCs/>
                      <w:szCs w:val="21"/>
                    </w:rPr>
                    <w:t>50.9</w:t>
                  </w:r>
                </w:p>
              </w:tc>
              <w:tc>
                <w:tcPr>
                  <w:tcW w:w="1276" w:type="dxa"/>
                  <w:tcBorders>
                    <w:tl2br w:val="nil"/>
                    <w:tr2bl w:val="nil"/>
                  </w:tcBorders>
                  <w:vAlign w:val="center"/>
                </w:tcPr>
                <w:p>
                  <w:pPr>
                    <w:jc w:val="center"/>
                    <w:rPr>
                      <w:color w:val="000000"/>
                      <w:szCs w:val="21"/>
                    </w:rPr>
                  </w:pPr>
                  <w:r>
                    <w:rPr>
                      <w:rFonts w:hint="eastAsia"/>
                      <w:bCs/>
                      <w:szCs w:val="21"/>
                    </w:rPr>
                    <w:t>48.2</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43.6</w:t>
                  </w:r>
                </w:p>
              </w:tc>
              <w:tc>
                <w:tcPr>
                  <w:tcW w:w="1275" w:type="dxa"/>
                  <w:tcBorders>
                    <w:tl2br w:val="nil"/>
                    <w:tr2bl w:val="nil"/>
                  </w:tcBorders>
                  <w:vAlign w:val="center"/>
                </w:tcPr>
                <w:p>
                  <w:pPr>
                    <w:jc w:val="center"/>
                    <w:rPr>
                      <w:color w:val="000000"/>
                      <w:szCs w:val="21"/>
                    </w:rPr>
                  </w:pPr>
                  <w:r>
                    <w:rPr>
                      <w:rFonts w:hint="eastAsia"/>
                      <w:bCs/>
                      <w:szCs w:val="21"/>
                    </w:rPr>
                    <w:t>42.2</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bCs/>
                      <w:szCs w:val="21"/>
                    </w:rPr>
                  </w:pPr>
                  <w:r>
                    <w:rPr>
                      <w:rFonts w:hint="eastAsia"/>
                      <w:bCs/>
                      <w:szCs w:val="21"/>
                    </w:rPr>
                    <w:t>濠河村三组</w:t>
                  </w:r>
                </w:p>
              </w:tc>
              <w:tc>
                <w:tcPr>
                  <w:tcW w:w="1276" w:type="dxa"/>
                  <w:tcBorders>
                    <w:tl2br w:val="nil"/>
                    <w:tr2bl w:val="nil"/>
                  </w:tcBorders>
                  <w:vAlign w:val="center"/>
                </w:tcPr>
                <w:p>
                  <w:pPr>
                    <w:jc w:val="center"/>
                    <w:rPr>
                      <w:color w:val="000000"/>
                      <w:szCs w:val="21"/>
                    </w:rPr>
                  </w:pPr>
                  <w:r>
                    <w:rPr>
                      <w:rFonts w:hint="eastAsia"/>
                      <w:bCs/>
                      <w:szCs w:val="21"/>
                    </w:rPr>
                    <w:t>50.0</w:t>
                  </w:r>
                </w:p>
              </w:tc>
              <w:tc>
                <w:tcPr>
                  <w:tcW w:w="1276" w:type="dxa"/>
                  <w:tcBorders>
                    <w:tl2br w:val="nil"/>
                    <w:tr2bl w:val="nil"/>
                  </w:tcBorders>
                  <w:vAlign w:val="center"/>
                </w:tcPr>
                <w:p>
                  <w:pPr>
                    <w:jc w:val="center"/>
                    <w:rPr>
                      <w:color w:val="000000"/>
                      <w:szCs w:val="21"/>
                    </w:rPr>
                  </w:pPr>
                  <w:r>
                    <w:rPr>
                      <w:rFonts w:hint="eastAsia"/>
                      <w:bCs/>
                      <w:szCs w:val="21"/>
                    </w:rPr>
                    <w:t>48.4</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44.7</w:t>
                  </w:r>
                </w:p>
              </w:tc>
              <w:tc>
                <w:tcPr>
                  <w:tcW w:w="1275" w:type="dxa"/>
                  <w:tcBorders>
                    <w:tl2br w:val="nil"/>
                    <w:tr2bl w:val="nil"/>
                  </w:tcBorders>
                  <w:vAlign w:val="center"/>
                </w:tcPr>
                <w:p>
                  <w:pPr>
                    <w:jc w:val="center"/>
                    <w:rPr>
                      <w:color w:val="000000"/>
                      <w:szCs w:val="21"/>
                    </w:rPr>
                  </w:pPr>
                  <w:r>
                    <w:rPr>
                      <w:rFonts w:hint="eastAsia"/>
                      <w:bCs/>
                      <w:szCs w:val="21"/>
                    </w:rPr>
                    <w:t>40.5</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1703" w:type="dxa"/>
                  <w:tcBorders>
                    <w:tl2br w:val="nil"/>
                    <w:tr2bl w:val="nil"/>
                  </w:tcBorders>
                  <w:vAlign w:val="center"/>
                </w:tcPr>
                <w:p>
                  <w:pPr>
                    <w:jc w:val="center"/>
                    <w:rPr>
                      <w:bCs/>
                      <w:szCs w:val="21"/>
                    </w:rPr>
                  </w:pPr>
                  <w:r>
                    <w:rPr>
                      <w:rFonts w:hint="eastAsia"/>
                      <w:bCs/>
                      <w:szCs w:val="21"/>
                    </w:rPr>
                    <w:t>濠河村1</w:t>
                  </w:r>
                </w:p>
              </w:tc>
              <w:tc>
                <w:tcPr>
                  <w:tcW w:w="1276" w:type="dxa"/>
                  <w:tcBorders>
                    <w:tl2br w:val="nil"/>
                    <w:tr2bl w:val="nil"/>
                  </w:tcBorders>
                  <w:vAlign w:val="center"/>
                </w:tcPr>
                <w:p>
                  <w:pPr>
                    <w:jc w:val="center"/>
                    <w:rPr>
                      <w:color w:val="000000"/>
                      <w:szCs w:val="21"/>
                    </w:rPr>
                  </w:pPr>
                  <w:r>
                    <w:rPr>
                      <w:rFonts w:hint="eastAsia"/>
                      <w:bCs/>
                      <w:szCs w:val="21"/>
                    </w:rPr>
                    <w:t>48.9</w:t>
                  </w:r>
                </w:p>
              </w:tc>
              <w:tc>
                <w:tcPr>
                  <w:tcW w:w="1276" w:type="dxa"/>
                  <w:tcBorders>
                    <w:tl2br w:val="nil"/>
                    <w:tr2bl w:val="nil"/>
                  </w:tcBorders>
                  <w:vAlign w:val="center"/>
                </w:tcPr>
                <w:p>
                  <w:pPr>
                    <w:jc w:val="center"/>
                    <w:rPr>
                      <w:color w:val="000000"/>
                      <w:szCs w:val="21"/>
                    </w:rPr>
                  </w:pPr>
                  <w:r>
                    <w:rPr>
                      <w:rFonts w:hint="eastAsia"/>
                      <w:bCs/>
                      <w:szCs w:val="21"/>
                    </w:rPr>
                    <w:t>49.0</w:t>
                  </w:r>
                </w:p>
              </w:tc>
              <w:tc>
                <w:tcPr>
                  <w:tcW w:w="1134" w:type="dxa"/>
                  <w:vMerge w:val="continue"/>
                  <w:tcBorders>
                    <w:tl2br w:val="nil"/>
                    <w:tr2bl w:val="nil"/>
                  </w:tcBorders>
                  <w:vAlign w:val="center"/>
                </w:tcPr>
                <w:p>
                  <w:pPr>
                    <w:pStyle w:val="6"/>
                    <w:wordWrap w:val="0"/>
                    <w:topLinePunct/>
                    <w:adjustRightInd w:val="0"/>
                    <w:snapToGrid w:val="0"/>
                    <w:jc w:val="center"/>
                    <w:rPr>
                      <w:color w:val="000000"/>
                      <w:szCs w:val="21"/>
                    </w:rPr>
                  </w:pPr>
                </w:p>
              </w:tc>
              <w:tc>
                <w:tcPr>
                  <w:tcW w:w="1276" w:type="dxa"/>
                  <w:tcBorders>
                    <w:tl2br w:val="nil"/>
                    <w:tr2bl w:val="nil"/>
                  </w:tcBorders>
                  <w:vAlign w:val="center"/>
                </w:tcPr>
                <w:p>
                  <w:pPr>
                    <w:jc w:val="center"/>
                    <w:rPr>
                      <w:color w:val="000000"/>
                      <w:szCs w:val="21"/>
                    </w:rPr>
                  </w:pPr>
                  <w:r>
                    <w:rPr>
                      <w:rFonts w:hint="eastAsia"/>
                      <w:bCs/>
                      <w:szCs w:val="21"/>
                    </w:rPr>
                    <w:t>40.6</w:t>
                  </w:r>
                </w:p>
              </w:tc>
              <w:tc>
                <w:tcPr>
                  <w:tcW w:w="1275" w:type="dxa"/>
                  <w:tcBorders>
                    <w:tl2br w:val="nil"/>
                    <w:tr2bl w:val="nil"/>
                  </w:tcBorders>
                  <w:vAlign w:val="center"/>
                </w:tcPr>
                <w:p>
                  <w:pPr>
                    <w:jc w:val="center"/>
                    <w:rPr>
                      <w:color w:val="000000"/>
                      <w:szCs w:val="21"/>
                    </w:rPr>
                  </w:pPr>
                  <w:r>
                    <w:rPr>
                      <w:rFonts w:hint="eastAsia"/>
                      <w:bCs/>
                      <w:szCs w:val="21"/>
                    </w:rPr>
                    <w:t>42.7</w:t>
                  </w:r>
                </w:p>
              </w:tc>
              <w:tc>
                <w:tcPr>
                  <w:tcW w:w="1134" w:type="dxa"/>
                  <w:vMerge w:val="continue"/>
                  <w:tcBorders>
                    <w:tl2br w:val="nil"/>
                    <w:tr2bl w:val="nil"/>
                  </w:tcBorders>
                  <w:vAlign w:val="center"/>
                </w:tcPr>
                <w:p>
                  <w:pPr>
                    <w:adjustRightInd w:val="0"/>
                    <w:snapToGrid w:val="0"/>
                    <w:spacing w:line="360" w:lineRule="exact"/>
                    <w:jc w:val="center"/>
                    <w:rPr>
                      <w:color w:val="000000"/>
                      <w:szCs w:val="21"/>
                    </w:rPr>
                  </w:pPr>
                </w:p>
              </w:tc>
            </w:tr>
            <w:bookmarkEnd w:id="5"/>
          </w:tbl>
          <w:p>
            <w:pPr>
              <w:snapToGrid w:val="0"/>
              <w:spacing w:line="520" w:lineRule="exact"/>
              <w:ind w:firstLine="462" w:firstLineChars="200"/>
              <w:contextualSpacing/>
              <w:rPr>
                <w:color w:val="000000"/>
                <w:sz w:val="24"/>
                <w:szCs w:val="24"/>
              </w:rPr>
            </w:pPr>
            <w:r>
              <w:rPr>
                <w:color w:val="000000"/>
                <w:sz w:val="24"/>
                <w:szCs w:val="24"/>
              </w:rPr>
              <w:t>从现场监测数据和统计数据可以看出，各项指标达到《声环境质量标准》（GB3096-2008）</w:t>
            </w:r>
            <w:r>
              <w:rPr>
                <w:rFonts w:hint="eastAsia"/>
                <w:color w:val="000000"/>
                <w:sz w:val="24"/>
                <w:szCs w:val="24"/>
              </w:rPr>
              <w:t>2类</w:t>
            </w:r>
            <w:r>
              <w:rPr>
                <w:color w:val="000000"/>
                <w:sz w:val="24"/>
                <w:szCs w:val="24"/>
              </w:rPr>
              <w:t>标准。</w:t>
            </w:r>
          </w:p>
          <w:p>
            <w:pPr>
              <w:pStyle w:val="5"/>
              <w:adjustRightInd/>
              <w:spacing w:beforeLines="0" w:line="520" w:lineRule="exact"/>
              <w:ind w:firstLine="0" w:firstLineChars="0"/>
              <w:contextualSpacing/>
              <w:rPr>
                <w:b/>
                <w:color w:val="000000"/>
                <w:sz w:val="28"/>
                <w:szCs w:val="28"/>
              </w:rPr>
            </w:pPr>
            <w:r>
              <w:rPr>
                <w:b/>
                <w:color w:val="000000"/>
                <w:sz w:val="28"/>
                <w:szCs w:val="28"/>
              </w:rPr>
              <w:t>主要环境保护目标</w:t>
            </w:r>
            <w:r>
              <w:rPr>
                <w:rFonts w:hint="eastAsia"/>
                <w:b/>
                <w:color w:val="000000"/>
                <w:sz w:val="28"/>
                <w:szCs w:val="28"/>
              </w:rPr>
              <w:t>（</w:t>
            </w:r>
            <w:r>
              <w:rPr>
                <w:b/>
                <w:color w:val="000000"/>
                <w:sz w:val="28"/>
                <w:szCs w:val="28"/>
              </w:rPr>
              <w:t>列出名单及保护级别</w:t>
            </w:r>
            <w:r>
              <w:rPr>
                <w:rFonts w:hint="eastAsia"/>
                <w:b/>
                <w:color w:val="000000"/>
                <w:sz w:val="28"/>
                <w:szCs w:val="28"/>
              </w:rPr>
              <w:t>）</w:t>
            </w:r>
            <w:r>
              <w:rPr>
                <w:b/>
                <w:color w:val="000000"/>
                <w:sz w:val="28"/>
                <w:szCs w:val="28"/>
              </w:rPr>
              <w:t>：</w:t>
            </w:r>
          </w:p>
          <w:p>
            <w:pPr>
              <w:snapToGrid w:val="0"/>
              <w:spacing w:line="520" w:lineRule="exact"/>
              <w:ind w:firstLine="462" w:firstLineChars="200"/>
              <w:contextualSpacing/>
              <w:rPr>
                <w:snapToGrid w:val="0"/>
                <w:color w:val="000000"/>
                <w:kern w:val="0"/>
                <w:sz w:val="24"/>
                <w:szCs w:val="24"/>
              </w:rPr>
            </w:pPr>
            <w:r>
              <w:rPr>
                <w:snapToGrid w:val="0"/>
                <w:color w:val="000000"/>
                <w:kern w:val="0"/>
                <w:sz w:val="24"/>
                <w:szCs w:val="24"/>
              </w:rPr>
              <w:t>环境保护目标主要是评价范围内可能受影响的附近居民居住区及河流。项目附近主要环境敏感点详见表3-5：</w:t>
            </w:r>
          </w:p>
          <w:p>
            <w:pPr>
              <w:snapToGrid w:val="0"/>
              <w:spacing w:line="520" w:lineRule="exact"/>
              <w:contextualSpacing/>
              <w:jc w:val="center"/>
              <w:rPr>
                <w:b/>
                <w:color w:val="000000"/>
                <w:sz w:val="24"/>
                <w:szCs w:val="24"/>
              </w:rPr>
            </w:pPr>
            <w:r>
              <w:rPr>
                <w:b/>
                <w:color w:val="000000"/>
                <w:sz w:val="24"/>
                <w:szCs w:val="24"/>
              </w:rPr>
              <w:t>表</w:t>
            </w:r>
            <w:r>
              <w:rPr>
                <w:rFonts w:hint="eastAsia"/>
                <w:b/>
                <w:color w:val="000000"/>
                <w:sz w:val="24"/>
                <w:szCs w:val="24"/>
              </w:rPr>
              <w:t>3-5</w:t>
            </w:r>
            <w:r>
              <w:rPr>
                <w:b/>
                <w:color w:val="000000"/>
                <w:sz w:val="24"/>
                <w:szCs w:val="24"/>
              </w:rPr>
              <w:t xml:space="preserve">  环境保护目标一览表</w:t>
            </w:r>
          </w:p>
          <w:tbl>
            <w:tblPr>
              <w:tblStyle w:val="19"/>
              <w:tblW w:w="9168"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75"/>
              <w:gridCol w:w="1614"/>
              <w:gridCol w:w="2632"/>
              <w:gridCol w:w="1845"/>
              <w:gridCol w:w="20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2" w:hRule="atLeast"/>
                <w:jc w:val="center"/>
              </w:trPr>
              <w:tc>
                <w:tcPr>
                  <w:tcW w:w="1075" w:type="dxa"/>
                  <w:shd w:val="clear" w:color="auto" w:fill="auto"/>
                  <w:vAlign w:val="center"/>
                </w:tcPr>
                <w:p>
                  <w:pPr>
                    <w:pStyle w:val="6"/>
                    <w:snapToGrid w:val="0"/>
                    <w:spacing w:line="360" w:lineRule="exact"/>
                    <w:contextualSpacing/>
                    <w:jc w:val="center"/>
                    <w:rPr>
                      <w:szCs w:val="21"/>
                    </w:rPr>
                  </w:pPr>
                  <w:r>
                    <w:rPr>
                      <w:szCs w:val="21"/>
                    </w:rPr>
                    <w:t>环境类型</w:t>
                  </w:r>
                </w:p>
              </w:tc>
              <w:tc>
                <w:tcPr>
                  <w:tcW w:w="1614" w:type="dxa"/>
                  <w:shd w:val="clear" w:color="auto" w:fill="auto"/>
                  <w:vAlign w:val="center"/>
                </w:tcPr>
                <w:p>
                  <w:pPr>
                    <w:pStyle w:val="6"/>
                    <w:snapToGrid w:val="0"/>
                    <w:spacing w:line="360" w:lineRule="exact"/>
                    <w:contextualSpacing/>
                    <w:jc w:val="center"/>
                    <w:rPr>
                      <w:szCs w:val="21"/>
                    </w:rPr>
                  </w:pPr>
                  <w:r>
                    <w:rPr>
                      <w:szCs w:val="21"/>
                    </w:rPr>
                    <w:t>环境保护目标</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与项目距离（m）</w:t>
                  </w:r>
                </w:p>
              </w:tc>
              <w:tc>
                <w:tcPr>
                  <w:tcW w:w="1845" w:type="dxa"/>
                  <w:shd w:val="clear" w:color="auto" w:fill="auto"/>
                  <w:vAlign w:val="center"/>
                </w:tcPr>
                <w:p>
                  <w:pPr>
                    <w:pStyle w:val="6"/>
                    <w:snapToGrid w:val="0"/>
                    <w:spacing w:line="360" w:lineRule="exact"/>
                    <w:contextualSpacing/>
                    <w:jc w:val="center"/>
                    <w:rPr>
                      <w:szCs w:val="21"/>
                    </w:rPr>
                  </w:pPr>
                  <w:r>
                    <w:rPr>
                      <w:szCs w:val="21"/>
                    </w:rPr>
                    <w:t>规模</w:t>
                  </w:r>
                </w:p>
              </w:tc>
              <w:tc>
                <w:tcPr>
                  <w:tcW w:w="2002" w:type="dxa"/>
                  <w:shd w:val="clear" w:color="auto" w:fill="auto"/>
                  <w:vAlign w:val="center"/>
                </w:tcPr>
                <w:p>
                  <w:pPr>
                    <w:pStyle w:val="6"/>
                    <w:snapToGrid w:val="0"/>
                    <w:spacing w:line="360" w:lineRule="exact"/>
                    <w:contextualSpacing/>
                    <w:jc w:val="center"/>
                    <w:rPr>
                      <w:szCs w:val="21"/>
                    </w:rPr>
                  </w:pPr>
                  <w:r>
                    <w:rPr>
                      <w:szCs w:val="21"/>
                    </w:rPr>
                    <w:t>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3" w:hRule="atLeast"/>
                <w:jc w:val="center"/>
              </w:trPr>
              <w:tc>
                <w:tcPr>
                  <w:tcW w:w="1075" w:type="dxa"/>
                  <w:vMerge w:val="restart"/>
                  <w:shd w:val="clear" w:color="auto" w:fill="auto"/>
                  <w:vAlign w:val="center"/>
                </w:tcPr>
                <w:p>
                  <w:pPr>
                    <w:pStyle w:val="6"/>
                    <w:snapToGrid w:val="0"/>
                    <w:spacing w:line="360" w:lineRule="exact"/>
                    <w:contextualSpacing/>
                    <w:jc w:val="center"/>
                    <w:rPr>
                      <w:szCs w:val="21"/>
                    </w:rPr>
                  </w:pPr>
                  <w:r>
                    <w:rPr>
                      <w:szCs w:val="21"/>
                    </w:rPr>
                    <w:t>水环境</w:t>
                  </w:r>
                </w:p>
              </w:tc>
              <w:tc>
                <w:tcPr>
                  <w:tcW w:w="1614" w:type="dxa"/>
                  <w:shd w:val="clear" w:color="auto" w:fill="auto"/>
                  <w:vAlign w:val="center"/>
                </w:tcPr>
                <w:p>
                  <w:pPr>
                    <w:pStyle w:val="6"/>
                    <w:snapToGrid w:val="0"/>
                    <w:spacing w:line="360" w:lineRule="exact"/>
                    <w:contextualSpacing/>
                    <w:jc w:val="center"/>
                    <w:rPr>
                      <w:szCs w:val="21"/>
                    </w:rPr>
                  </w:pPr>
                  <w:r>
                    <w:rPr>
                      <w:rFonts w:hint="eastAsia"/>
                      <w:szCs w:val="21"/>
                    </w:rPr>
                    <w:t>洞庭湖</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距离项目最近距离200m</w:t>
                  </w:r>
                </w:p>
              </w:tc>
              <w:tc>
                <w:tcPr>
                  <w:tcW w:w="1845" w:type="dxa"/>
                  <w:shd w:val="clear" w:color="auto" w:fill="auto"/>
                  <w:vAlign w:val="center"/>
                </w:tcPr>
                <w:p>
                  <w:pPr>
                    <w:pStyle w:val="6"/>
                    <w:snapToGrid w:val="0"/>
                    <w:spacing w:line="360" w:lineRule="exact"/>
                    <w:contextualSpacing/>
                    <w:jc w:val="center"/>
                    <w:rPr>
                      <w:szCs w:val="21"/>
                    </w:rPr>
                  </w:pPr>
                  <w:r>
                    <w:rPr>
                      <w:rFonts w:hint="eastAsia"/>
                      <w:szCs w:val="21"/>
                    </w:rPr>
                    <w:t>大湖</w:t>
                  </w:r>
                </w:p>
              </w:tc>
              <w:tc>
                <w:tcPr>
                  <w:tcW w:w="2002" w:type="dxa"/>
                  <w:vMerge w:val="restart"/>
                  <w:shd w:val="clear" w:color="auto" w:fill="auto"/>
                  <w:vAlign w:val="center"/>
                </w:tcPr>
                <w:p>
                  <w:pPr>
                    <w:pStyle w:val="6"/>
                    <w:snapToGrid w:val="0"/>
                    <w:spacing w:line="360" w:lineRule="exact"/>
                    <w:contextualSpacing/>
                    <w:jc w:val="center"/>
                    <w:rPr>
                      <w:szCs w:val="21"/>
                    </w:rPr>
                  </w:pPr>
                  <w:r>
                    <w:rPr>
                      <w:szCs w:val="21"/>
                    </w:rPr>
                    <w:t>《地表水环境质量标准》（GB3838-2002）</w:t>
                  </w:r>
                  <w:r>
                    <w:rPr>
                      <w:rFonts w:hint="eastAsia"/>
                      <w:szCs w:val="21"/>
                    </w:rPr>
                    <w:t>Ⅲ</w:t>
                  </w:r>
                  <w:r>
                    <w:rPr>
                      <w:szCs w:val="21"/>
                    </w:rPr>
                    <w:t>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3"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pStyle w:val="6"/>
                    <w:snapToGrid w:val="0"/>
                    <w:spacing w:line="360" w:lineRule="exact"/>
                    <w:contextualSpacing/>
                    <w:jc w:val="center"/>
                    <w:rPr>
                      <w:szCs w:val="21"/>
                    </w:rPr>
                  </w:pPr>
                  <w:r>
                    <w:rPr>
                      <w:rFonts w:hint="eastAsia"/>
                      <w:szCs w:val="21"/>
                    </w:rPr>
                    <w:t>长江</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距离项目最近距离3800m</w:t>
                  </w:r>
                </w:p>
              </w:tc>
              <w:tc>
                <w:tcPr>
                  <w:tcW w:w="1845" w:type="dxa"/>
                  <w:shd w:val="clear" w:color="auto" w:fill="auto"/>
                  <w:vAlign w:val="center"/>
                </w:tcPr>
                <w:p>
                  <w:pPr>
                    <w:pStyle w:val="6"/>
                    <w:snapToGrid w:val="0"/>
                    <w:spacing w:line="360" w:lineRule="exact"/>
                    <w:contextualSpacing/>
                    <w:jc w:val="center"/>
                    <w:rPr>
                      <w:szCs w:val="21"/>
                    </w:rPr>
                  </w:pPr>
                  <w:r>
                    <w:rPr>
                      <w:rFonts w:hint="eastAsia"/>
                      <w:szCs w:val="21"/>
                    </w:rPr>
                    <w:t>大河</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3"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pStyle w:val="6"/>
                    <w:snapToGrid w:val="0"/>
                    <w:spacing w:line="360" w:lineRule="exact"/>
                    <w:contextualSpacing/>
                    <w:jc w:val="center"/>
                    <w:rPr>
                      <w:szCs w:val="21"/>
                    </w:rPr>
                  </w:pPr>
                  <w:r>
                    <w:rPr>
                      <w:rFonts w:hint="eastAsia"/>
                      <w:szCs w:val="21"/>
                    </w:rPr>
                    <w:t>濠河</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距离项目最近距离20m</w:t>
                  </w:r>
                </w:p>
              </w:tc>
              <w:tc>
                <w:tcPr>
                  <w:tcW w:w="1845" w:type="dxa"/>
                  <w:shd w:val="clear" w:color="auto" w:fill="auto"/>
                  <w:vAlign w:val="center"/>
                </w:tcPr>
                <w:p>
                  <w:pPr>
                    <w:pStyle w:val="6"/>
                    <w:snapToGrid w:val="0"/>
                    <w:spacing w:line="360" w:lineRule="exact"/>
                    <w:contextualSpacing/>
                    <w:jc w:val="center"/>
                    <w:rPr>
                      <w:szCs w:val="21"/>
                    </w:rPr>
                  </w:pPr>
                  <w:r>
                    <w:rPr>
                      <w:rFonts w:hint="eastAsia"/>
                      <w:szCs w:val="21"/>
                    </w:rPr>
                    <w:t>小河</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3"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pStyle w:val="6"/>
                    <w:snapToGrid w:val="0"/>
                    <w:spacing w:line="360" w:lineRule="exact"/>
                    <w:contextualSpacing/>
                    <w:jc w:val="center"/>
                    <w:rPr>
                      <w:szCs w:val="21"/>
                    </w:rPr>
                  </w:pPr>
                  <w:r>
                    <w:rPr>
                      <w:rFonts w:hint="eastAsia"/>
                      <w:szCs w:val="21"/>
                    </w:rPr>
                    <w:t>南干渠</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距离项目最近距离20m</w:t>
                  </w:r>
                </w:p>
              </w:tc>
              <w:tc>
                <w:tcPr>
                  <w:tcW w:w="1845" w:type="dxa"/>
                  <w:shd w:val="clear" w:color="auto" w:fill="auto"/>
                  <w:vAlign w:val="center"/>
                </w:tcPr>
                <w:p>
                  <w:pPr>
                    <w:pStyle w:val="6"/>
                    <w:snapToGrid w:val="0"/>
                    <w:spacing w:line="360" w:lineRule="exact"/>
                    <w:contextualSpacing/>
                    <w:jc w:val="center"/>
                    <w:rPr>
                      <w:szCs w:val="21"/>
                    </w:rPr>
                  </w:pPr>
                  <w:r>
                    <w:rPr>
                      <w:rFonts w:hint="eastAsia"/>
                      <w:szCs w:val="21"/>
                    </w:rPr>
                    <w:t>农灌渠</w:t>
                  </w:r>
                </w:p>
              </w:tc>
              <w:tc>
                <w:tcPr>
                  <w:tcW w:w="2002" w:type="dxa"/>
                  <w:shd w:val="clear" w:color="auto" w:fill="auto"/>
                  <w:vAlign w:val="center"/>
                </w:tcPr>
                <w:p>
                  <w:pPr>
                    <w:pStyle w:val="6"/>
                    <w:snapToGrid w:val="0"/>
                    <w:spacing w:line="360" w:lineRule="exact"/>
                    <w:contextualSpacing/>
                    <w:jc w:val="center"/>
                    <w:rPr>
                      <w:szCs w:val="21"/>
                    </w:rPr>
                  </w:pPr>
                  <w:r>
                    <w:rPr>
                      <w:sz w:val="24"/>
                      <w:szCs w:val="24"/>
                    </w:rPr>
                    <w:t>《</w:t>
                  </w:r>
                  <w:r>
                    <w:rPr>
                      <w:szCs w:val="21"/>
                    </w:rPr>
                    <w:t>农田灌溉水质标准》（GB5084-2005）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3"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pStyle w:val="6"/>
                    <w:snapToGrid w:val="0"/>
                    <w:spacing w:line="360" w:lineRule="exact"/>
                    <w:contextualSpacing/>
                    <w:jc w:val="center"/>
                    <w:rPr>
                      <w:szCs w:val="21"/>
                    </w:rPr>
                  </w:pPr>
                  <w:r>
                    <w:rPr>
                      <w:rFonts w:hint="eastAsia"/>
                      <w:szCs w:val="21"/>
                    </w:rPr>
                    <w:t>管线沿线鱼塘</w:t>
                  </w:r>
                </w:p>
              </w:tc>
              <w:tc>
                <w:tcPr>
                  <w:tcW w:w="2632" w:type="dxa"/>
                  <w:shd w:val="clear" w:color="auto" w:fill="auto"/>
                  <w:vAlign w:val="center"/>
                </w:tcPr>
                <w:p>
                  <w:pPr>
                    <w:pStyle w:val="6"/>
                    <w:snapToGrid w:val="0"/>
                    <w:spacing w:line="360" w:lineRule="exact"/>
                    <w:contextualSpacing/>
                    <w:jc w:val="center"/>
                    <w:rPr>
                      <w:szCs w:val="21"/>
                    </w:rPr>
                  </w:pPr>
                  <w:r>
                    <w:rPr>
                      <w:rFonts w:hint="eastAsia"/>
                      <w:szCs w:val="21"/>
                    </w:rPr>
                    <w:t>距离项目最近距离50m</w:t>
                  </w:r>
                </w:p>
              </w:tc>
              <w:tc>
                <w:tcPr>
                  <w:tcW w:w="1845" w:type="dxa"/>
                  <w:shd w:val="clear" w:color="auto" w:fill="auto"/>
                  <w:vAlign w:val="center"/>
                </w:tcPr>
                <w:p>
                  <w:pPr>
                    <w:pStyle w:val="6"/>
                    <w:snapToGrid w:val="0"/>
                    <w:spacing w:line="360" w:lineRule="exact"/>
                    <w:contextualSpacing/>
                    <w:jc w:val="center"/>
                    <w:rPr>
                      <w:szCs w:val="21"/>
                    </w:rPr>
                  </w:pPr>
                  <w:r>
                    <w:rPr>
                      <w:rFonts w:hint="eastAsia"/>
                      <w:szCs w:val="21"/>
                    </w:rPr>
                    <w:t>/</w:t>
                  </w:r>
                </w:p>
              </w:tc>
              <w:tc>
                <w:tcPr>
                  <w:tcW w:w="2002" w:type="dxa"/>
                  <w:shd w:val="clear" w:color="auto" w:fill="auto"/>
                  <w:vAlign w:val="center"/>
                </w:tcPr>
                <w:p>
                  <w:pPr>
                    <w:pStyle w:val="6"/>
                    <w:snapToGrid w:val="0"/>
                    <w:spacing w:line="360" w:lineRule="exact"/>
                    <w:contextualSpacing/>
                    <w:jc w:val="center"/>
                    <w:rPr>
                      <w:sz w:val="24"/>
                      <w:szCs w:val="24"/>
                    </w:rPr>
                  </w:pPr>
                  <w:r>
                    <w:rPr>
                      <w:rFonts w:hint="eastAsia"/>
                      <w:szCs w:val="21"/>
                    </w:rPr>
                    <w:t>《渔业水质标准》（GB11607-89）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1" w:hRule="atLeast"/>
                <w:jc w:val="center"/>
              </w:trPr>
              <w:tc>
                <w:tcPr>
                  <w:tcW w:w="1075" w:type="dxa"/>
                  <w:vMerge w:val="restart"/>
                  <w:shd w:val="clear" w:color="auto" w:fill="auto"/>
                  <w:vAlign w:val="center"/>
                </w:tcPr>
                <w:p>
                  <w:pPr>
                    <w:pStyle w:val="6"/>
                    <w:snapToGrid w:val="0"/>
                    <w:spacing w:line="360" w:lineRule="exact"/>
                    <w:contextualSpacing/>
                    <w:jc w:val="center"/>
                    <w:rPr>
                      <w:szCs w:val="21"/>
                    </w:rPr>
                  </w:pPr>
                  <w:r>
                    <w:rPr>
                      <w:szCs w:val="21"/>
                    </w:rPr>
                    <w:t>环境空气</w:t>
                  </w:r>
                  <w:r>
                    <w:rPr>
                      <w:rFonts w:hint="eastAsia"/>
                      <w:szCs w:val="21"/>
                    </w:rPr>
                    <w:t>/</w:t>
                  </w:r>
                  <w:r>
                    <w:rPr>
                      <w:szCs w:val="21"/>
                    </w:rPr>
                    <w:t>声环境</w:t>
                  </w:r>
                </w:p>
              </w:tc>
              <w:tc>
                <w:tcPr>
                  <w:tcW w:w="1614" w:type="dxa"/>
                  <w:shd w:val="clear" w:color="auto" w:fill="auto"/>
                  <w:vAlign w:val="center"/>
                </w:tcPr>
                <w:p>
                  <w:pPr>
                    <w:jc w:val="center"/>
                    <w:rPr>
                      <w:szCs w:val="21"/>
                    </w:rPr>
                  </w:pPr>
                  <w:r>
                    <w:rPr>
                      <w:rFonts w:hint="eastAsia"/>
                      <w:szCs w:val="21"/>
                    </w:rPr>
                    <w:t>党家墩</w:t>
                  </w:r>
                </w:p>
              </w:tc>
              <w:tc>
                <w:tcPr>
                  <w:tcW w:w="2632" w:type="dxa"/>
                  <w:shd w:val="clear" w:color="auto" w:fill="auto"/>
                  <w:vAlign w:val="center"/>
                </w:tcPr>
                <w:p>
                  <w:pPr>
                    <w:jc w:val="center"/>
                    <w:rPr>
                      <w:szCs w:val="21"/>
                    </w:rPr>
                  </w:pPr>
                  <w:r>
                    <w:rPr>
                      <w:rFonts w:hint="eastAsia"/>
                      <w:szCs w:val="21"/>
                    </w:rPr>
                    <w:t>189</w:t>
                  </w:r>
                  <w:r>
                    <w:rPr>
                      <w:szCs w:val="21"/>
                    </w:rPr>
                    <w:t>~</w:t>
                  </w:r>
                  <w:r>
                    <w:rPr>
                      <w:rFonts w:hint="eastAsia"/>
                      <w:szCs w:val="21"/>
                    </w:rPr>
                    <w:t>421</w:t>
                  </w:r>
                </w:p>
              </w:tc>
              <w:tc>
                <w:tcPr>
                  <w:tcW w:w="1845" w:type="dxa"/>
                  <w:shd w:val="clear" w:color="auto" w:fill="auto"/>
                  <w:vAlign w:val="center"/>
                </w:tcPr>
                <w:p>
                  <w:pPr>
                    <w:jc w:val="center"/>
                    <w:rPr>
                      <w:szCs w:val="21"/>
                    </w:rPr>
                  </w:pPr>
                  <w:r>
                    <w:rPr>
                      <w:rFonts w:hint="eastAsia"/>
                      <w:szCs w:val="21"/>
                    </w:rPr>
                    <w:t>300户（1200人）</w:t>
                  </w:r>
                </w:p>
              </w:tc>
              <w:tc>
                <w:tcPr>
                  <w:tcW w:w="2002" w:type="dxa"/>
                  <w:vMerge w:val="restart"/>
                  <w:shd w:val="clear" w:color="auto" w:fill="auto"/>
                  <w:vAlign w:val="center"/>
                </w:tcPr>
                <w:p>
                  <w:pPr>
                    <w:pStyle w:val="6"/>
                    <w:snapToGrid w:val="0"/>
                    <w:spacing w:line="360" w:lineRule="exact"/>
                    <w:contextualSpacing/>
                    <w:jc w:val="center"/>
                    <w:rPr>
                      <w:szCs w:val="21"/>
                    </w:rPr>
                  </w:pPr>
                  <w:r>
                    <w:rPr>
                      <w:szCs w:val="21"/>
                    </w:rPr>
                    <w:t>《环境空气质量标准》（GB3095-</w:t>
                  </w:r>
                  <w:r>
                    <w:rPr>
                      <w:rFonts w:hint="eastAsia"/>
                      <w:szCs w:val="21"/>
                    </w:rPr>
                    <w:t>2012</w:t>
                  </w:r>
                  <w:r>
                    <w:rPr>
                      <w:szCs w:val="21"/>
                    </w:rPr>
                    <w:t>）中二级标准</w:t>
                  </w:r>
                  <w:r>
                    <w:rPr>
                      <w:rFonts w:hint="eastAsia"/>
                      <w:szCs w:val="21"/>
                    </w:rPr>
                    <w:t>；</w:t>
                  </w:r>
                  <w:r>
                    <w:rPr>
                      <w:szCs w:val="21"/>
                    </w:rPr>
                    <w:t>《声环境质量标准》（GB3096-2008）2类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望城社区</w:t>
                  </w:r>
                </w:p>
              </w:tc>
              <w:tc>
                <w:tcPr>
                  <w:tcW w:w="2632" w:type="dxa"/>
                  <w:shd w:val="clear" w:color="auto" w:fill="auto"/>
                  <w:vAlign w:val="center"/>
                </w:tcPr>
                <w:p>
                  <w:pPr>
                    <w:jc w:val="center"/>
                    <w:rPr>
                      <w:szCs w:val="21"/>
                    </w:rPr>
                  </w:pPr>
                  <w:r>
                    <w:rPr>
                      <w:rFonts w:hint="eastAsia"/>
                      <w:szCs w:val="21"/>
                    </w:rPr>
                    <w:t>44~250</w:t>
                  </w:r>
                </w:p>
              </w:tc>
              <w:tc>
                <w:tcPr>
                  <w:tcW w:w="1845" w:type="dxa"/>
                  <w:shd w:val="clear" w:color="auto" w:fill="auto"/>
                  <w:vAlign w:val="center"/>
                </w:tcPr>
                <w:p>
                  <w:pPr>
                    <w:jc w:val="center"/>
                    <w:rPr>
                      <w:szCs w:val="21"/>
                    </w:rPr>
                  </w:pPr>
                  <w:r>
                    <w:rPr>
                      <w:rFonts w:hint="eastAsia"/>
                      <w:szCs w:val="21"/>
                    </w:rPr>
                    <w:t>350户（1400人）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平塘</w:t>
                  </w:r>
                </w:p>
              </w:tc>
              <w:tc>
                <w:tcPr>
                  <w:tcW w:w="2632" w:type="dxa"/>
                  <w:shd w:val="clear" w:color="auto" w:fill="auto"/>
                  <w:vAlign w:val="center"/>
                </w:tcPr>
                <w:p>
                  <w:pPr>
                    <w:jc w:val="center"/>
                    <w:rPr>
                      <w:szCs w:val="21"/>
                    </w:rPr>
                  </w:pPr>
                  <w:r>
                    <w:rPr>
                      <w:rFonts w:hint="eastAsia"/>
                      <w:szCs w:val="21"/>
                    </w:rPr>
                    <w:t>99~447</w:t>
                  </w:r>
                </w:p>
              </w:tc>
              <w:tc>
                <w:tcPr>
                  <w:tcW w:w="1845" w:type="dxa"/>
                  <w:shd w:val="clear" w:color="auto" w:fill="auto"/>
                  <w:vAlign w:val="center"/>
                </w:tcPr>
                <w:p>
                  <w:pPr>
                    <w:jc w:val="center"/>
                    <w:rPr>
                      <w:szCs w:val="21"/>
                    </w:rPr>
                  </w:pPr>
                  <w:r>
                    <w:rPr>
                      <w:rFonts w:hint="eastAsia"/>
                      <w:szCs w:val="21"/>
                    </w:rPr>
                    <w:t>150户（600人）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新洲村</w:t>
                  </w:r>
                </w:p>
              </w:tc>
              <w:tc>
                <w:tcPr>
                  <w:tcW w:w="2632" w:type="dxa"/>
                  <w:shd w:val="clear" w:color="auto" w:fill="auto"/>
                  <w:vAlign w:val="center"/>
                </w:tcPr>
                <w:p>
                  <w:pPr>
                    <w:jc w:val="center"/>
                    <w:rPr>
                      <w:szCs w:val="21"/>
                    </w:rPr>
                  </w:pPr>
                  <w:r>
                    <w:rPr>
                      <w:rFonts w:hint="eastAsia"/>
                      <w:szCs w:val="21"/>
                    </w:rPr>
                    <w:t>100~260</w:t>
                  </w:r>
                </w:p>
              </w:tc>
              <w:tc>
                <w:tcPr>
                  <w:tcW w:w="1845" w:type="dxa"/>
                  <w:shd w:val="clear" w:color="auto" w:fill="auto"/>
                  <w:vAlign w:val="center"/>
                </w:tcPr>
                <w:p>
                  <w:pPr>
                    <w:jc w:val="center"/>
                    <w:rPr>
                      <w:szCs w:val="21"/>
                    </w:rPr>
                  </w:pPr>
                  <w:r>
                    <w:rPr>
                      <w:rFonts w:hint="eastAsia"/>
                      <w:szCs w:val="21"/>
                    </w:rPr>
                    <w:t>350户（1400人）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君山区人民医院</w:t>
                  </w:r>
                </w:p>
              </w:tc>
              <w:tc>
                <w:tcPr>
                  <w:tcW w:w="2632" w:type="dxa"/>
                  <w:shd w:val="clear" w:color="auto" w:fill="auto"/>
                  <w:vAlign w:val="center"/>
                </w:tcPr>
                <w:p>
                  <w:pPr>
                    <w:jc w:val="center"/>
                    <w:rPr>
                      <w:szCs w:val="21"/>
                    </w:rPr>
                  </w:pPr>
                  <w:r>
                    <w:rPr>
                      <w:rFonts w:hint="eastAsia"/>
                      <w:szCs w:val="21"/>
                    </w:rPr>
                    <w:t>20~224</w:t>
                  </w:r>
                </w:p>
              </w:tc>
              <w:tc>
                <w:tcPr>
                  <w:tcW w:w="1845" w:type="dxa"/>
                  <w:shd w:val="clear" w:color="auto" w:fill="auto"/>
                  <w:vAlign w:val="center"/>
                </w:tcPr>
                <w:p>
                  <w:pPr>
                    <w:jc w:val="center"/>
                    <w:rPr>
                      <w:szCs w:val="21"/>
                    </w:rPr>
                  </w:pPr>
                  <w:r>
                    <w:rPr>
                      <w:rFonts w:hint="eastAsia"/>
                      <w:szCs w:val="21"/>
                    </w:rPr>
                    <w:t>约260张床位</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39"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鱼垱</w:t>
                  </w:r>
                </w:p>
              </w:tc>
              <w:tc>
                <w:tcPr>
                  <w:tcW w:w="2632" w:type="dxa"/>
                  <w:shd w:val="clear" w:color="auto" w:fill="auto"/>
                  <w:vAlign w:val="center"/>
                </w:tcPr>
                <w:p>
                  <w:pPr>
                    <w:jc w:val="center"/>
                    <w:rPr>
                      <w:szCs w:val="21"/>
                    </w:rPr>
                  </w:pPr>
                  <w:r>
                    <w:rPr>
                      <w:rFonts w:hint="eastAsia"/>
                      <w:szCs w:val="21"/>
                    </w:rPr>
                    <w:t>20~116</w:t>
                  </w:r>
                </w:p>
              </w:tc>
              <w:tc>
                <w:tcPr>
                  <w:tcW w:w="1845" w:type="dxa"/>
                  <w:shd w:val="clear" w:color="auto" w:fill="auto"/>
                  <w:vAlign w:val="center"/>
                </w:tcPr>
                <w:p>
                  <w:pPr>
                    <w:jc w:val="center"/>
                    <w:rPr>
                      <w:szCs w:val="21"/>
                    </w:rPr>
                  </w:pPr>
                  <w:r>
                    <w:rPr>
                      <w:rFonts w:hint="eastAsia"/>
                      <w:szCs w:val="21"/>
                    </w:rPr>
                    <w:t>30户（120人）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永成铺</w:t>
                  </w:r>
                </w:p>
              </w:tc>
              <w:tc>
                <w:tcPr>
                  <w:tcW w:w="2632" w:type="dxa"/>
                  <w:shd w:val="clear" w:color="auto" w:fill="auto"/>
                  <w:vAlign w:val="center"/>
                </w:tcPr>
                <w:p>
                  <w:pPr>
                    <w:jc w:val="center"/>
                    <w:rPr>
                      <w:szCs w:val="21"/>
                    </w:rPr>
                  </w:pPr>
                  <w:r>
                    <w:rPr>
                      <w:rFonts w:hint="eastAsia"/>
                      <w:szCs w:val="21"/>
                    </w:rPr>
                    <w:t>15~200</w:t>
                  </w:r>
                </w:p>
              </w:tc>
              <w:tc>
                <w:tcPr>
                  <w:tcW w:w="1845" w:type="dxa"/>
                  <w:shd w:val="clear" w:color="auto" w:fill="auto"/>
                  <w:vAlign w:val="center"/>
                </w:tcPr>
                <w:p>
                  <w:pPr>
                    <w:jc w:val="center"/>
                    <w:rPr>
                      <w:szCs w:val="21"/>
                    </w:rPr>
                  </w:pPr>
                  <w:r>
                    <w:rPr>
                      <w:rFonts w:hint="eastAsia"/>
                      <w:szCs w:val="21"/>
                    </w:rPr>
                    <w:t>25户（100人）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濠河村六组1</w:t>
                  </w:r>
                </w:p>
              </w:tc>
              <w:tc>
                <w:tcPr>
                  <w:tcW w:w="2632" w:type="dxa"/>
                  <w:shd w:val="clear" w:color="auto" w:fill="auto"/>
                  <w:vAlign w:val="center"/>
                </w:tcPr>
                <w:p>
                  <w:pPr>
                    <w:jc w:val="center"/>
                    <w:rPr>
                      <w:szCs w:val="21"/>
                    </w:rPr>
                  </w:pPr>
                  <w:r>
                    <w:rPr>
                      <w:rFonts w:hint="eastAsia"/>
                      <w:szCs w:val="21"/>
                    </w:rPr>
                    <w:t>25~120</w:t>
                  </w:r>
                </w:p>
              </w:tc>
              <w:tc>
                <w:tcPr>
                  <w:tcW w:w="1845" w:type="dxa"/>
                  <w:shd w:val="clear" w:color="auto" w:fill="auto"/>
                  <w:vAlign w:val="center"/>
                </w:tcPr>
                <w:p>
                  <w:pPr>
                    <w:jc w:val="center"/>
                    <w:rPr>
                      <w:szCs w:val="21"/>
                    </w:rPr>
                  </w:pPr>
                  <w:r>
                    <w:rPr>
                      <w:rFonts w:hint="eastAsia"/>
                      <w:szCs w:val="21"/>
                    </w:rPr>
                    <w:t>50户（200人）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濠河村六组2</w:t>
                  </w:r>
                </w:p>
              </w:tc>
              <w:tc>
                <w:tcPr>
                  <w:tcW w:w="2632" w:type="dxa"/>
                  <w:shd w:val="clear" w:color="auto" w:fill="auto"/>
                  <w:vAlign w:val="center"/>
                </w:tcPr>
                <w:p>
                  <w:pPr>
                    <w:jc w:val="center"/>
                    <w:rPr>
                      <w:szCs w:val="21"/>
                    </w:rPr>
                  </w:pPr>
                  <w:r>
                    <w:rPr>
                      <w:rFonts w:hint="eastAsia"/>
                      <w:szCs w:val="21"/>
                    </w:rPr>
                    <w:t>30~70</w:t>
                  </w:r>
                </w:p>
              </w:tc>
              <w:tc>
                <w:tcPr>
                  <w:tcW w:w="1845" w:type="dxa"/>
                  <w:shd w:val="clear" w:color="auto" w:fill="auto"/>
                  <w:vAlign w:val="center"/>
                </w:tcPr>
                <w:p>
                  <w:pPr>
                    <w:jc w:val="center"/>
                    <w:rPr>
                      <w:szCs w:val="21"/>
                    </w:rPr>
                  </w:pPr>
                  <w:r>
                    <w:rPr>
                      <w:rFonts w:hint="eastAsia"/>
                      <w:szCs w:val="21"/>
                    </w:rPr>
                    <w:t>5户（20人）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濠河村二组</w:t>
                  </w:r>
                </w:p>
              </w:tc>
              <w:tc>
                <w:tcPr>
                  <w:tcW w:w="2632" w:type="dxa"/>
                  <w:shd w:val="clear" w:color="auto" w:fill="auto"/>
                  <w:vAlign w:val="center"/>
                </w:tcPr>
                <w:p>
                  <w:pPr>
                    <w:jc w:val="center"/>
                    <w:rPr>
                      <w:szCs w:val="21"/>
                    </w:rPr>
                  </w:pPr>
                  <w:r>
                    <w:rPr>
                      <w:rFonts w:hint="eastAsia"/>
                      <w:szCs w:val="21"/>
                    </w:rPr>
                    <w:t>25~610</w:t>
                  </w:r>
                </w:p>
              </w:tc>
              <w:tc>
                <w:tcPr>
                  <w:tcW w:w="1845" w:type="dxa"/>
                  <w:shd w:val="clear" w:color="auto" w:fill="auto"/>
                  <w:vAlign w:val="center"/>
                </w:tcPr>
                <w:p>
                  <w:pPr>
                    <w:jc w:val="center"/>
                    <w:rPr>
                      <w:szCs w:val="21"/>
                    </w:rPr>
                  </w:pPr>
                  <w:r>
                    <w:rPr>
                      <w:rFonts w:hint="eastAsia"/>
                      <w:szCs w:val="21"/>
                    </w:rPr>
                    <w:t>30户（120人）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濠河村1</w:t>
                  </w:r>
                </w:p>
              </w:tc>
              <w:tc>
                <w:tcPr>
                  <w:tcW w:w="2632" w:type="dxa"/>
                  <w:shd w:val="clear" w:color="auto" w:fill="auto"/>
                  <w:vAlign w:val="center"/>
                </w:tcPr>
                <w:p>
                  <w:pPr>
                    <w:jc w:val="center"/>
                    <w:rPr>
                      <w:szCs w:val="21"/>
                    </w:rPr>
                  </w:pPr>
                  <w:r>
                    <w:rPr>
                      <w:rFonts w:hint="eastAsia"/>
                      <w:szCs w:val="21"/>
                    </w:rPr>
                    <w:t>0~240</w:t>
                  </w:r>
                </w:p>
              </w:tc>
              <w:tc>
                <w:tcPr>
                  <w:tcW w:w="1845" w:type="dxa"/>
                  <w:shd w:val="clear" w:color="auto" w:fill="auto"/>
                  <w:vAlign w:val="center"/>
                </w:tcPr>
                <w:p>
                  <w:pPr>
                    <w:jc w:val="center"/>
                    <w:rPr>
                      <w:szCs w:val="21"/>
                    </w:rPr>
                  </w:pPr>
                  <w:r>
                    <w:rPr>
                      <w:rFonts w:hint="eastAsia"/>
                      <w:szCs w:val="21"/>
                    </w:rPr>
                    <w:t>500户（2000人）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君山航空服务职业技术学校</w:t>
                  </w:r>
                </w:p>
              </w:tc>
              <w:tc>
                <w:tcPr>
                  <w:tcW w:w="2632" w:type="dxa"/>
                  <w:shd w:val="clear" w:color="auto" w:fill="auto"/>
                  <w:vAlign w:val="center"/>
                </w:tcPr>
                <w:p>
                  <w:pPr>
                    <w:jc w:val="center"/>
                    <w:rPr>
                      <w:szCs w:val="21"/>
                    </w:rPr>
                  </w:pPr>
                  <w:r>
                    <w:rPr>
                      <w:rFonts w:hint="eastAsia"/>
                      <w:szCs w:val="21"/>
                    </w:rPr>
                    <w:t>20~110</w:t>
                  </w:r>
                </w:p>
              </w:tc>
              <w:tc>
                <w:tcPr>
                  <w:tcW w:w="1845" w:type="dxa"/>
                  <w:shd w:val="clear" w:color="auto" w:fill="auto"/>
                  <w:vAlign w:val="center"/>
                </w:tcPr>
                <w:p>
                  <w:pPr>
                    <w:jc w:val="center"/>
                    <w:rPr>
                      <w:szCs w:val="21"/>
                    </w:rPr>
                  </w:pPr>
                  <w:r>
                    <w:rPr>
                      <w:rFonts w:hint="eastAsia"/>
                      <w:szCs w:val="21"/>
                    </w:rPr>
                    <w:t>师生约2000人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濠河小学</w:t>
                  </w:r>
                </w:p>
              </w:tc>
              <w:tc>
                <w:tcPr>
                  <w:tcW w:w="2632" w:type="dxa"/>
                  <w:shd w:val="clear" w:color="auto" w:fill="auto"/>
                  <w:vAlign w:val="center"/>
                </w:tcPr>
                <w:p>
                  <w:pPr>
                    <w:jc w:val="center"/>
                    <w:rPr>
                      <w:szCs w:val="21"/>
                    </w:rPr>
                  </w:pPr>
                  <w:r>
                    <w:rPr>
                      <w:rFonts w:hint="eastAsia"/>
                      <w:szCs w:val="21"/>
                    </w:rPr>
                    <w:t>20~110</w:t>
                  </w:r>
                </w:p>
              </w:tc>
              <w:tc>
                <w:tcPr>
                  <w:tcW w:w="1845" w:type="dxa"/>
                  <w:shd w:val="clear" w:color="auto" w:fill="auto"/>
                  <w:vAlign w:val="center"/>
                </w:tcPr>
                <w:p>
                  <w:pPr>
                    <w:jc w:val="center"/>
                    <w:rPr>
                      <w:szCs w:val="21"/>
                    </w:rPr>
                  </w:pPr>
                  <w:r>
                    <w:rPr>
                      <w:rFonts w:hint="eastAsia"/>
                      <w:szCs w:val="21"/>
                    </w:rPr>
                    <w:t>师生约1200人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2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濠河村2</w:t>
                  </w:r>
                </w:p>
              </w:tc>
              <w:tc>
                <w:tcPr>
                  <w:tcW w:w="2632" w:type="dxa"/>
                  <w:shd w:val="clear" w:color="auto" w:fill="auto"/>
                  <w:vAlign w:val="center"/>
                </w:tcPr>
                <w:p>
                  <w:pPr>
                    <w:jc w:val="center"/>
                    <w:rPr>
                      <w:szCs w:val="21"/>
                    </w:rPr>
                  </w:pPr>
                  <w:r>
                    <w:rPr>
                      <w:rFonts w:hint="eastAsia"/>
                      <w:szCs w:val="21"/>
                    </w:rPr>
                    <w:t>30~216</w:t>
                  </w:r>
                </w:p>
              </w:tc>
              <w:tc>
                <w:tcPr>
                  <w:tcW w:w="1845" w:type="dxa"/>
                  <w:shd w:val="clear" w:color="auto" w:fill="auto"/>
                  <w:vAlign w:val="center"/>
                </w:tcPr>
                <w:p>
                  <w:pPr>
                    <w:jc w:val="center"/>
                    <w:rPr>
                      <w:szCs w:val="21"/>
                    </w:rPr>
                  </w:pPr>
                  <w:r>
                    <w:rPr>
                      <w:rFonts w:hint="eastAsia"/>
                      <w:szCs w:val="21"/>
                    </w:rPr>
                    <w:t>80户（320人）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6" w:hRule="atLeast"/>
                <w:jc w:val="center"/>
              </w:trPr>
              <w:tc>
                <w:tcPr>
                  <w:tcW w:w="1075" w:type="dxa"/>
                  <w:vMerge w:val="continue"/>
                  <w:shd w:val="clear" w:color="auto" w:fill="auto"/>
                  <w:vAlign w:val="center"/>
                </w:tcPr>
                <w:p>
                  <w:pPr>
                    <w:pStyle w:val="6"/>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濠河村3</w:t>
                  </w:r>
                </w:p>
              </w:tc>
              <w:tc>
                <w:tcPr>
                  <w:tcW w:w="2632" w:type="dxa"/>
                  <w:shd w:val="clear" w:color="auto" w:fill="auto"/>
                  <w:vAlign w:val="center"/>
                </w:tcPr>
                <w:p>
                  <w:pPr>
                    <w:jc w:val="center"/>
                    <w:rPr>
                      <w:szCs w:val="21"/>
                    </w:rPr>
                  </w:pPr>
                  <w:r>
                    <w:rPr>
                      <w:rFonts w:hint="eastAsia"/>
                      <w:szCs w:val="21"/>
                    </w:rPr>
                    <w:t>150~367</w:t>
                  </w:r>
                </w:p>
              </w:tc>
              <w:tc>
                <w:tcPr>
                  <w:tcW w:w="1845" w:type="dxa"/>
                  <w:shd w:val="clear" w:color="auto" w:fill="auto"/>
                  <w:vAlign w:val="center"/>
                </w:tcPr>
                <w:p>
                  <w:pPr>
                    <w:jc w:val="center"/>
                    <w:rPr>
                      <w:szCs w:val="21"/>
                    </w:rPr>
                  </w:pPr>
                  <w:r>
                    <w:rPr>
                      <w:rFonts w:hint="eastAsia"/>
                      <w:szCs w:val="21"/>
                    </w:rPr>
                    <w:t>15户（480人）</w:t>
                  </w:r>
                </w:p>
              </w:tc>
              <w:tc>
                <w:tcPr>
                  <w:tcW w:w="2002" w:type="dxa"/>
                  <w:vMerge w:val="continue"/>
                  <w:shd w:val="clear" w:color="auto" w:fill="auto"/>
                  <w:vAlign w:val="center"/>
                </w:tcPr>
                <w:p>
                  <w:pPr>
                    <w:pStyle w:val="6"/>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濠河村4</w:t>
                  </w:r>
                </w:p>
              </w:tc>
              <w:tc>
                <w:tcPr>
                  <w:tcW w:w="2632" w:type="dxa"/>
                  <w:shd w:val="clear" w:color="auto" w:fill="auto"/>
                  <w:vAlign w:val="center"/>
                </w:tcPr>
                <w:p>
                  <w:pPr>
                    <w:jc w:val="center"/>
                    <w:rPr>
                      <w:szCs w:val="21"/>
                    </w:rPr>
                  </w:pPr>
                  <w:r>
                    <w:rPr>
                      <w:rFonts w:hint="eastAsia"/>
                      <w:szCs w:val="21"/>
                    </w:rPr>
                    <w:t>15~200</w:t>
                  </w:r>
                </w:p>
              </w:tc>
              <w:tc>
                <w:tcPr>
                  <w:tcW w:w="1845" w:type="dxa"/>
                  <w:shd w:val="clear" w:color="auto" w:fill="auto"/>
                  <w:vAlign w:val="center"/>
                </w:tcPr>
                <w:p>
                  <w:pPr>
                    <w:jc w:val="center"/>
                    <w:rPr>
                      <w:szCs w:val="21"/>
                    </w:rPr>
                  </w:pPr>
                  <w:r>
                    <w:rPr>
                      <w:rFonts w:hint="eastAsia"/>
                      <w:szCs w:val="21"/>
                    </w:rPr>
                    <w:t>60户（240人）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濠河村三组</w:t>
                  </w:r>
                </w:p>
              </w:tc>
              <w:tc>
                <w:tcPr>
                  <w:tcW w:w="2632" w:type="dxa"/>
                  <w:shd w:val="clear" w:color="auto" w:fill="auto"/>
                  <w:vAlign w:val="center"/>
                </w:tcPr>
                <w:p>
                  <w:pPr>
                    <w:jc w:val="center"/>
                    <w:rPr>
                      <w:szCs w:val="21"/>
                    </w:rPr>
                  </w:pPr>
                  <w:r>
                    <w:rPr>
                      <w:rFonts w:hint="eastAsia"/>
                      <w:szCs w:val="21"/>
                    </w:rPr>
                    <w:t>5~260</w:t>
                  </w:r>
                </w:p>
              </w:tc>
              <w:tc>
                <w:tcPr>
                  <w:tcW w:w="1845" w:type="dxa"/>
                  <w:shd w:val="clear" w:color="auto" w:fill="auto"/>
                  <w:vAlign w:val="center"/>
                </w:tcPr>
                <w:p>
                  <w:pPr>
                    <w:jc w:val="center"/>
                    <w:rPr>
                      <w:szCs w:val="21"/>
                    </w:rPr>
                  </w:pPr>
                  <w:r>
                    <w:rPr>
                      <w:rFonts w:hint="eastAsia"/>
                      <w:szCs w:val="21"/>
                    </w:rPr>
                    <w:t>350户（1400人）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濠河村5</w:t>
                  </w:r>
                </w:p>
              </w:tc>
              <w:tc>
                <w:tcPr>
                  <w:tcW w:w="2632" w:type="dxa"/>
                  <w:shd w:val="clear" w:color="auto" w:fill="auto"/>
                  <w:vAlign w:val="center"/>
                </w:tcPr>
                <w:p>
                  <w:pPr>
                    <w:jc w:val="center"/>
                    <w:rPr>
                      <w:szCs w:val="21"/>
                    </w:rPr>
                  </w:pPr>
                  <w:r>
                    <w:rPr>
                      <w:rFonts w:hint="eastAsia"/>
                      <w:szCs w:val="21"/>
                    </w:rPr>
                    <w:t>20~70</w:t>
                  </w:r>
                </w:p>
              </w:tc>
              <w:tc>
                <w:tcPr>
                  <w:tcW w:w="1845" w:type="dxa"/>
                  <w:shd w:val="clear" w:color="auto" w:fill="auto"/>
                  <w:vAlign w:val="center"/>
                </w:tcPr>
                <w:p>
                  <w:pPr>
                    <w:jc w:val="center"/>
                    <w:rPr>
                      <w:szCs w:val="21"/>
                    </w:rPr>
                  </w:pPr>
                  <w:r>
                    <w:rPr>
                      <w:rFonts w:hint="eastAsia"/>
                      <w:szCs w:val="21"/>
                    </w:rPr>
                    <w:t>5户（20人）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濠河村6</w:t>
                  </w:r>
                </w:p>
              </w:tc>
              <w:tc>
                <w:tcPr>
                  <w:tcW w:w="2632" w:type="dxa"/>
                  <w:shd w:val="clear" w:color="auto" w:fill="auto"/>
                  <w:vAlign w:val="center"/>
                </w:tcPr>
                <w:p>
                  <w:pPr>
                    <w:jc w:val="center"/>
                    <w:rPr>
                      <w:szCs w:val="21"/>
                    </w:rPr>
                  </w:pPr>
                  <w:r>
                    <w:rPr>
                      <w:rFonts w:hint="eastAsia"/>
                      <w:szCs w:val="21"/>
                    </w:rPr>
                    <w:t>15~290</w:t>
                  </w:r>
                </w:p>
              </w:tc>
              <w:tc>
                <w:tcPr>
                  <w:tcW w:w="1845" w:type="dxa"/>
                  <w:shd w:val="clear" w:color="auto" w:fill="auto"/>
                  <w:vAlign w:val="center"/>
                </w:tcPr>
                <w:p>
                  <w:pPr>
                    <w:jc w:val="center"/>
                    <w:rPr>
                      <w:szCs w:val="21"/>
                    </w:rPr>
                  </w:pPr>
                  <w:r>
                    <w:rPr>
                      <w:rFonts w:hint="eastAsia"/>
                      <w:szCs w:val="21"/>
                    </w:rPr>
                    <w:t>400户（1600人）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b/>
                      <w:sz w:val="24"/>
                      <w:szCs w:val="24"/>
                    </w:rPr>
                  </w:pPr>
                  <w:r>
                    <w:rPr>
                      <w:rFonts w:hint="eastAsia"/>
                      <w:szCs w:val="21"/>
                    </w:rPr>
                    <w:t>濠河村7</w:t>
                  </w:r>
                </w:p>
              </w:tc>
              <w:tc>
                <w:tcPr>
                  <w:tcW w:w="2632" w:type="dxa"/>
                  <w:shd w:val="clear" w:color="auto" w:fill="auto"/>
                  <w:vAlign w:val="center"/>
                </w:tcPr>
                <w:p>
                  <w:pPr>
                    <w:jc w:val="center"/>
                    <w:rPr>
                      <w:szCs w:val="21"/>
                    </w:rPr>
                  </w:pPr>
                  <w:r>
                    <w:rPr>
                      <w:rFonts w:hint="eastAsia"/>
                      <w:szCs w:val="21"/>
                    </w:rPr>
                    <w:t>10~130</w:t>
                  </w:r>
                </w:p>
              </w:tc>
              <w:tc>
                <w:tcPr>
                  <w:tcW w:w="1845" w:type="dxa"/>
                  <w:shd w:val="clear" w:color="auto" w:fill="auto"/>
                  <w:vAlign w:val="center"/>
                </w:tcPr>
                <w:p>
                  <w:pPr>
                    <w:jc w:val="center"/>
                    <w:rPr>
                      <w:szCs w:val="21"/>
                    </w:rPr>
                  </w:pPr>
                  <w:r>
                    <w:rPr>
                      <w:rFonts w:hint="eastAsia"/>
                      <w:szCs w:val="21"/>
                    </w:rPr>
                    <w:t>200户（800人）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vMerge w:val="continue"/>
                  <w:shd w:val="clear" w:color="auto" w:fill="auto"/>
                  <w:vAlign w:val="center"/>
                </w:tcPr>
                <w:p>
                  <w:pPr>
                    <w:snapToGrid w:val="0"/>
                    <w:spacing w:line="360" w:lineRule="exact"/>
                    <w:contextualSpacing/>
                    <w:jc w:val="center"/>
                    <w:rPr>
                      <w:szCs w:val="21"/>
                    </w:rPr>
                  </w:pPr>
                </w:p>
              </w:tc>
              <w:tc>
                <w:tcPr>
                  <w:tcW w:w="1614" w:type="dxa"/>
                  <w:shd w:val="clear" w:color="auto" w:fill="auto"/>
                  <w:vAlign w:val="center"/>
                </w:tcPr>
                <w:p>
                  <w:pPr>
                    <w:jc w:val="center"/>
                    <w:rPr>
                      <w:szCs w:val="21"/>
                    </w:rPr>
                  </w:pPr>
                  <w:r>
                    <w:rPr>
                      <w:rFonts w:hint="eastAsia"/>
                      <w:szCs w:val="21"/>
                    </w:rPr>
                    <w:t>堵口</w:t>
                  </w:r>
                </w:p>
              </w:tc>
              <w:tc>
                <w:tcPr>
                  <w:tcW w:w="2632" w:type="dxa"/>
                  <w:shd w:val="clear" w:color="auto" w:fill="auto"/>
                  <w:vAlign w:val="center"/>
                </w:tcPr>
                <w:p>
                  <w:pPr>
                    <w:jc w:val="center"/>
                    <w:rPr>
                      <w:szCs w:val="21"/>
                    </w:rPr>
                  </w:pPr>
                  <w:r>
                    <w:rPr>
                      <w:rFonts w:hint="eastAsia"/>
                      <w:szCs w:val="21"/>
                    </w:rPr>
                    <w:t>181~536</w:t>
                  </w:r>
                </w:p>
              </w:tc>
              <w:tc>
                <w:tcPr>
                  <w:tcW w:w="1845" w:type="dxa"/>
                  <w:shd w:val="clear" w:color="auto" w:fill="auto"/>
                  <w:vAlign w:val="center"/>
                </w:tcPr>
                <w:p>
                  <w:pPr>
                    <w:jc w:val="center"/>
                    <w:rPr>
                      <w:szCs w:val="21"/>
                    </w:rPr>
                  </w:pPr>
                  <w:r>
                    <w:rPr>
                      <w:rFonts w:hint="eastAsia"/>
                      <w:szCs w:val="21"/>
                    </w:rPr>
                    <w:t>150户（600人）</w:t>
                  </w:r>
                </w:p>
              </w:tc>
              <w:tc>
                <w:tcPr>
                  <w:tcW w:w="2002" w:type="dxa"/>
                  <w:vMerge w:val="continue"/>
                  <w:shd w:val="clear" w:color="auto" w:fill="auto"/>
                  <w:vAlign w:val="center"/>
                </w:tcPr>
                <w:p>
                  <w:pPr>
                    <w:snapToGrid w:val="0"/>
                    <w:spacing w:line="360" w:lineRule="exact"/>
                    <w:contextualSpacing/>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shd w:val="clear" w:color="auto" w:fill="auto"/>
                  <w:vAlign w:val="center"/>
                </w:tcPr>
                <w:p>
                  <w:pPr>
                    <w:jc w:val="center"/>
                    <w:rPr>
                      <w:szCs w:val="21"/>
                    </w:rPr>
                  </w:pPr>
                  <w:r>
                    <w:rPr>
                      <w:rFonts w:hint="eastAsia"/>
                      <w:szCs w:val="21"/>
                    </w:rPr>
                    <w:t>生态环境</w:t>
                  </w:r>
                </w:p>
              </w:tc>
              <w:tc>
                <w:tcPr>
                  <w:tcW w:w="8093" w:type="dxa"/>
                  <w:gridSpan w:val="4"/>
                  <w:shd w:val="clear" w:color="auto" w:fill="auto"/>
                  <w:vAlign w:val="center"/>
                </w:tcPr>
                <w:p>
                  <w:pPr>
                    <w:jc w:val="center"/>
                    <w:rPr>
                      <w:szCs w:val="21"/>
                    </w:rPr>
                  </w:pPr>
                  <w:r>
                    <w:rPr>
                      <w:rFonts w:hint="eastAsia"/>
                      <w:szCs w:val="21"/>
                    </w:rPr>
                    <w:t>周边动植物、水土、农田、水生生态系统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6" w:hRule="atLeast"/>
                <w:jc w:val="center"/>
              </w:trPr>
              <w:tc>
                <w:tcPr>
                  <w:tcW w:w="1075" w:type="dxa"/>
                  <w:shd w:val="clear" w:color="auto" w:fill="auto"/>
                  <w:vAlign w:val="center"/>
                </w:tcPr>
                <w:p>
                  <w:pPr>
                    <w:jc w:val="center"/>
                    <w:rPr>
                      <w:szCs w:val="21"/>
                    </w:rPr>
                  </w:pPr>
                  <w:r>
                    <w:rPr>
                      <w:rFonts w:hint="eastAsia"/>
                      <w:szCs w:val="21"/>
                    </w:rPr>
                    <w:t>社会保护目标</w:t>
                  </w:r>
                </w:p>
              </w:tc>
              <w:tc>
                <w:tcPr>
                  <w:tcW w:w="8093" w:type="dxa"/>
                  <w:gridSpan w:val="4"/>
                  <w:shd w:val="clear" w:color="auto" w:fill="auto"/>
                  <w:vAlign w:val="center"/>
                </w:tcPr>
                <w:p>
                  <w:pPr>
                    <w:jc w:val="center"/>
                    <w:rPr>
                      <w:szCs w:val="21"/>
                    </w:rPr>
                  </w:pPr>
                  <w:r>
                    <w:rPr>
                      <w:rFonts w:hint="eastAsia"/>
                      <w:szCs w:val="21"/>
                    </w:rPr>
                    <w:t>项目施工范围内的其它市政管线工程</w:t>
                  </w:r>
                </w:p>
              </w:tc>
            </w:tr>
          </w:tbl>
          <w:p>
            <w:pPr>
              <w:spacing w:line="520" w:lineRule="exact"/>
              <w:ind w:firstLine="462" w:firstLineChars="200"/>
              <w:rPr>
                <w:b/>
                <w:color w:val="FF0000"/>
                <w:sz w:val="24"/>
                <w:szCs w:val="24"/>
              </w:rPr>
            </w:pPr>
          </w:p>
          <w:p>
            <w:pPr>
              <w:spacing w:line="520" w:lineRule="exact"/>
              <w:ind w:firstLine="462" w:firstLineChars="200"/>
              <w:rPr>
                <w:b/>
                <w:color w:val="FF0000"/>
                <w:sz w:val="24"/>
                <w:szCs w:val="24"/>
              </w:rPr>
            </w:pPr>
          </w:p>
          <w:p>
            <w:pPr>
              <w:spacing w:line="360" w:lineRule="auto"/>
              <w:ind w:firstLine="402" w:firstLineChars="200"/>
              <w:rPr>
                <w:color w:val="FF0000"/>
              </w:rPr>
            </w:pPr>
          </w:p>
          <w:p>
            <w:pPr>
              <w:spacing w:line="360" w:lineRule="auto"/>
              <w:ind w:firstLine="402" w:firstLineChars="200"/>
              <w:rPr>
                <w:color w:val="FF0000"/>
              </w:rPr>
            </w:pPr>
          </w:p>
          <w:p>
            <w:pPr>
              <w:spacing w:line="360" w:lineRule="auto"/>
              <w:ind w:firstLine="402" w:firstLineChars="200"/>
              <w:rPr>
                <w:color w:val="FF0000"/>
              </w:rPr>
            </w:pPr>
          </w:p>
          <w:p>
            <w:pPr>
              <w:spacing w:line="360" w:lineRule="auto"/>
              <w:ind w:firstLine="402" w:firstLineChars="200"/>
              <w:rPr>
                <w:color w:val="FF0000"/>
              </w:rPr>
            </w:pPr>
          </w:p>
          <w:p>
            <w:pPr>
              <w:spacing w:line="360" w:lineRule="auto"/>
              <w:rPr>
                <w:color w:val="FF0000"/>
              </w:rPr>
            </w:pPr>
          </w:p>
        </w:tc>
      </w:tr>
    </w:tbl>
    <w:p>
      <w:pPr>
        <w:snapToGrid w:val="0"/>
        <w:textAlignment w:val="baseline"/>
        <w:outlineLvl w:val="0"/>
        <w:rPr>
          <w:rFonts w:eastAsia="黑体"/>
          <w:color w:val="000000"/>
          <w:sz w:val="32"/>
        </w:rPr>
      </w:pPr>
      <w:r>
        <w:rPr>
          <w:color w:val="FF0000"/>
        </w:rPr>
        <w:br w:type="page"/>
      </w:r>
      <w:bookmarkStart w:id="6" w:name="_Toc460481177"/>
      <w:r>
        <w:rPr>
          <w:rFonts w:hint="eastAsia" w:ascii="黑体" w:hAnsi="黑体" w:eastAsia="黑体"/>
          <w:color w:val="000000"/>
          <w:sz w:val="32"/>
          <w:szCs w:val="32"/>
        </w:rPr>
        <w:t>四、</w:t>
      </w:r>
      <w:r>
        <w:rPr>
          <w:rFonts w:eastAsia="黑体"/>
          <w:color w:val="000000"/>
          <w:sz w:val="32"/>
        </w:rPr>
        <w:t>评价适用标准</w:t>
      </w:r>
      <w:bookmarkEnd w:id="6"/>
    </w:p>
    <w:tbl>
      <w:tblPr>
        <w:tblStyle w:val="19"/>
        <w:tblW w:w="934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6"/>
        <w:gridCol w:w="87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06" w:hRule="atLeast"/>
          <w:jc w:val="center"/>
        </w:trPr>
        <w:tc>
          <w:tcPr>
            <w:tcW w:w="596" w:type="dxa"/>
            <w:vAlign w:val="center"/>
          </w:tcPr>
          <w:p>
            <w:pPr>
              <w:jc w:val="center"/>
              <w:rPr>
                <w:b/>
                <w:bCs/>
                <w:color w:val="000000"/>
                <w:sz w:val="24"/>
                <w:szCs w:val="24"/>
              </w:rPr>
            </w:pPr>
            <w:r>
              <w:rPr>
                <w:b/>
                <w:bCs/>
                <w:color w:val="000000"/>
                <w:sz w:val="24"/>
                <w:szCs w:val="24"/>
              </w:rPr>
              <w:t>环境质量标准</w:t>
            </w:r>
          </w:p>
        </w:tc>
        <w:tc>
          <w:tcPr>
            <w:tcW w:w="8746" w:type="dxa"/>
            <w:vAlign w:val="center"/>
          </w:tcPr>
          <w:p>
            <w:pPr>
              <w:snapToGrid w:val="0"/>
              <w:spacing w:line="520" w:lineRule="exact"/>
              <w:contextualSpacing/>
              <w:rPr>
                <w:color w:val="000000"/>
                <w:sz w:val="24"/>
                <w:szCs w:val="24"/>
              </w:rPr>
            </w:pPr>
            <w:r>
              <w:rPr>
                <w:color w:val="000000"/>
                <w:sz w:val="24"/>
                <w:szCs w:val="24"/>
              </w:rPr>
              <w:t>1、环境空气：项目拟建地执行《环境空气质量标准》（GB3095-2012）中的二级标准；</w:t>
            </w:r>
          </w:p>
          <w:p>
            <w:pPr>
              <w:snapToGrid w:val="0"/>
              <w:spacing w:line="520" w:lineRule="exact"/>
              <w:contextualSpacing/>
              <w:rPr>
                <w:color w:val="000000"/>
                <w:sz w:val="24"/>
                <w:szCs w:val="24"/>
              </w:rPr>
            </w:pPr>
            <w:r>
              <w:rPr>
                <w:color w:val="000000"/>
                <w:sz w:val="24"/>
                <w:szCs w:val="24"/>
              </w:rPr>
              <w:t>2、地表水环境：拟建项目评价范围内所涉及的地表水体为农排渠，以及</w:t>
            </w:r>
            <w:r>
              <w:rPr>
                <w:rFonts w:hint="eastAsia"/>
                <w:color w:val="000000"/>
                <w:sz w:val="24"/>
                <w:szCs w:val="24"/>
              </w:rPr>
              <w:t>附近</w:t>
            </w:r>
            <w:r>
              <w:rPr>
                <w:color w:val="000000"/>
                <w:sz w:val="24"/>
                <w:szCs w:val="24"/>
              </w:rPr>
              <w:t>分布的鱼塘</w:t>
            </w:r>
            <w:r>
              <w:rPr>
                <w:rFonts w:hint="eastAsia"/>
                <w:color w:val="000000"/>
                <w:sz w:val="24"/>
                <w:szCs w:val="24"/>
              </w:rPr>
              <w:t>；</w:t>
            </w:r>
            <w:r>
              <w:rPr>
                <w:color w:val="000000"/>
                <w:sz w:val="24"/>
                <w:szCs w:val="24"/>
              </w:rPr>
              <w:t>农排渠执行《农田灌溉水质标准》（GB5084-2005）和《地表水环境质量标准》（GB3838-2002），鱼塘执行《渔业水质标准》（GB11607-89）；</w:t>
            </w:r>
          </w:p>
          <w:p>
            <w:pPr>
              <w:snapToGrid w:val="0"/>
              <w:spacing w:line="520" w:lineRule="exact"/>
              <w:contextualSpacing/>
              <w:rPr>
                <w:rFonts w:eastAsia="仿宋_GB2312"/>
                <w:b/>
                <w:bCs/>
                <w:color w:val="FF0000"/>
                <w:spacing w:val="10"/>
                <w:sz w:val="24"/>
                <w:szCs w:val="24"/>
              </w:rPr>
            </w:pPr>
            <w:r>
              <w:rPr>
                <w:color w:val="000000"/>
                <w:sz w:val="24"/>
                <w:szCs w:val="24"/>
              </w:rPr>
              <w:t>3、声环境：</w:t>
            </w:r>
            <w:r>
              <w:rPr>
                <w:rFonts w:hint="eastAsia"/>
                <w:color w:val="000000"/>
                <w:sz w:val="24"/>
                <w:szCs w:val="24"/>
              </w:rPr>
              <w:t>沿旅游路、生态路道路两侧35m范围内执行《声环境质量标准》（GB3096-2008）中的4a类标准，其他区域执行2类标准</w:t>
            </w:r>
            <w:r>
              <w:rPr>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71" w:hRule="atLeast"/>
          <w:jc w:val="center"/>
        </w:trPr>
        <w:tc>
          <w:tcPr>
            <w:tcW w:w="596" w:type="dxa"/>
            <w:vAlign w:val="center"/>
          </w:tcPr>
          <w:p>
            <w:pPr>
              <w:jc w:val="center"/>
              <w:rPr>
                <w:b/>
                <w:bCs/>
                <w:color w:val="000000"/>
                <w:sz w:val="24"/>
                <w:szCs w:val="24"/>
              </w:rPr>
            </w:pPr>
            <w:r>
              <w:rPr>
                <w:b/>
                <w:bCs/>
                <w:color w:val="000000"/>
                <w:sz w:val="24"/>
                <w:szCs w:val="24"/>
              </w:rPr>
              <w:t>污染物排放标准</w:t>
            </w:r>
          </w:p>
        </w:tc>
        <w:tc>
          <w:tcPr>
            <w:tcW w:w="8746" w:type="dxa"/>
            <w:vAlign w:val="center"/>
          </w:tcPr>
          <w:p>
            <w:pPr>
              <w:snapToGrid w:val="0"/>
              <w:spacing w:line="520" w:lineRule="exact"/>
              <w:contextualSpacing/>
              <w:rPr>
                <w:color w:val="000000"/>
                <w:sz w:val="24"/>
                <w:szCs w:val="24"/>
              </w:rPr>
            </w:pPr>
            <w:r>
              <w:rPr>
                <w:rFonts w:hint="eastAsia"/>
                <w:color w:val="000000"/>
                <w:sz w:val="24"/>
                <w:szCs w:val="24"/>
              </w:rPr>
              <w:t>1、废水：执行《污水综合排放标准》（</w:t>
            </w:r>
            <w:r>
              <w:rPr>
                <w:color w:val="000000"/>
                <w:sz w:val="24"/>
                <w:szCs w:val="24"/>
              </w:rPr>
              <w:t>GB8978-1996</w:t>
            </w:r>
            <w:r>
              <w:rPr>
                <w:rFonts w:hint="eastAsia"/>
                <w:color w:val="000000"/>
                <w:sz w:val="24"/>
                <w:szCs w:val="24"/>
              </w:rPr>
              <w:t>）中一级标准；</w:t>
            </w:r>
          </w:p>
          <w:p>
            <w:pPr>
              <w:snapToGrid w:val="0"/>
              <w:spacing w:line="520" w:lineRule="exact"/>
              <w:contextualSpacing/>
              <w:rPr>
                <w:color w:val="000000"/>
                <w:sz w:val="24"/>
                <w:szCs w:val="24"/>
              </w:rPr>
            </w:pPr>
            <w:r>
              <w:rPr>
                <w:rFonts w:hint="eastAsia"/>
                <w:color w:val="000000"/>
                <w:sz w:val="24"/>
                <w:szCs w:val="24"/>
              </w:rPr>
              <w:t>2、废气：执行《大气污染物综合排放标准》（</w:t>
            </w:r>
            <w:r>
              <w:rPr>
                <w:color w:val="000000"/>
                <w:sz w:val="24"/>
                <w:szCs w:val="24"/>
              </w:rPr>
              <w:t>GB16297-1996</w:t>
            </w:r>
            <w:r>
              <w:rPr>
                <w:rFonts w:hint="eastAsia"/>
                <w:color w:val="000000"/>
                <w:sz w:val="24"/>
                <w:szCs w:val="24"/>
              </w:rPr>
              <w:t>）新污染源大气污染物排放限值中无组织排放标准；</w:t>
            </w:r>
          </w:p>
          <w:p>
            <w:pPr>
              <w:snapToGrid w:val="0"/>
              <w:spacing w:line="520" w:lineRule="exact"/>
              <w:contextualSpacing/>
              <w:rPr>
                <w:color w:val="000000"/>
                <w:sz w:val="24"/>
                <w:szCs w:val="24"/>
              </w:rPr>
            </w:pPr>
            <w:r>
              <w:rPr>
                <w:rFonts w:hint="eastAsia"/>
                <w:color w:val="000000"/>
                <w:sz w:val="24"/>
                <w:szCs w:val="24"/>
              </w:rPr>
              <w:t>3、噪声：施工期执行《建筑施工场界环境噪声排放标准》（</w:t>
            </w:r>
            <w:r>
              <w:rPr>
                <w:color w:val="000000"/>
                <w:sz w:val="24"/>
                <w:szCs w:val="24"/>
              </w:rPr>
              <w:t>GB12523-2011</w:t>
            </w:r>
            <w:r>
              <w:rPr>
                <w:rFonts w:hint="eastAsia"/>
                <w:color w:val="000000"/>
                <w:sz w:val="24"/>
                <w:szCs w:val="24"/>
              </w:rPr>
              <w:t>）标准；</w:t>
            </w:r>
          </w:p>
          <w:p>
            <w:pPr>
              <w:snapToGrid w:val="0"/>
              <w:spacing w:line="520" w:lineRule="exact"/>
              <w:contextualSpacing/>
              <w:rPr>
                <w:color w:val="FF0000"/>
                <w:sz w:val="24"/>
                <w:szCs w:val="24"/>
              </w:rPr>
            </w:pPr>
            <w:r>
              <w:rPr>
                <w:rFonts w:hint="eastAsia"/>
                <w:color w:val="000000"/>
                <w:sz w:val="24"/>
                <w:szCs w:val="24"/>
              </w:rPr>
              <w:t>4、固体废物：执行《一般工业固体废物贮存、处置场污染控制标准》（</w:t>
            </w:r>
            <w:r>
              <w:rPr>
                <w:color w:val="000000"/>
                <w:sz w:val="24"/>
                <w:szCs w:val="24"/>
              </w:rPr>
              <w:t>GB18599-2001</w:t>
            </w:r>
            <w:r>
              <w:rPr>
                <w:rFonts w:hint="eastAsia"/>
                <w:color w:val="000000"/>
                <w:sz w:val="24"/>
                <w:szCs w:val="24"/>
              </w:rPr>
              <w:t>）及其修改单。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60" w:hRule="atLeast"/>
          <w:jc w:val="center"/>
        </w:trPr>
        <w:tc>
          <w:tcPr>
            <w:tcW w:w="596" w:type="dxa"/>
            <w:vAlign w:val="center"/>
          </w:tcPr>
          <w:p>
            <w:pPr>
              <w:jc w:val="center"/>
              <w:rPr>
                <w:b/>
                <w:bCs/>
                <w:color w:val="000000"/>
                <w:sz w:val="24"/>
                <w:szCs w:val="24"/>
              </w:rPr>
            </w:pPr>
            <w:r>
              <w:rPr>
                <w:b/>
                <w:bCs/>
                <w:color w:val="000000"/>
                <w:sz w:val="24"/>
                <w:szCs w:val="24"/>
              </w:rPr>
              <w:t>总量控制指标</w:t>
            </w:r>
          </w:p>
        </w:tc>
        <w:tc>
          <w:tcPr>
            <w:tcW w:w="8746" w:type="dxa"/>
            <w:vAlign w:val="center"/>
          </w:tcPr>
          <w:p>
            <w:pPr>
              <w:snapToGrid w:val="0"/>
              <w:spacing w:line="520" w:lineRule="exact"/>
              <w:ind w:firstLine="462" w:firstLineChars="200"/>
              <w:contextualSpacing/>
              <w:rPr>
                <w:color w:val="FF0000"/>
                <w:sz w:val="24"/>
                <w:szCs w:val="24"/>
              </w:rPr>
            </w:pPr>
          </w:p>
          <w:p>
            <w:pPr>
              <w:snapToGrid w:val="0"/>
              <w:spacing w:line="520" w:lineRule="exact"/>
              <w:ind w:firstLine="462" w:firstLineChars="200"/>
              <w:contextualSpacing/>
              <w:rPr>
                <w:color w:val="FF0000"/>
                <w:sz w:val="24"/>
                <w:szCs w:val="24"/>
              </w:rPr>
            </w:pPr>
          </w:p>
          <w:p>
            <w:pPr>
              <w:snapToGrid w:val="0"/>
              <w:spacing w:line="520" w:lineRule="exact"/>
              <w:ind w:firstLine="462" w:firstLineChars="200"/>
              <w:contextualSpacing/>
              <w:rPr>
                <w:color w:val="FF0000"/>
                <w:sz w:val="24"/>
                <w:szCs w:val="24"/>
              </w:rPr>
            </w:pPr>
          </w:p>
          <w:p>
            <w:pPr>
              <w:snapToGrid w:val="0"/>
              <w:spacing w:line="520" w:lineRule="exact"/>
              <w:ind w:firstLine="462" w:firstLineChars="200"/>
              <w:contextualSpacing/>
              <w:rPr>
                <w:color w:val="000000"/>
                <w:sz w:val="24"/>
                <w:szCs w:val="24"/>
              </w:rPr>
            </w:pPr>
          </w:p>
          <w:p>
            <w:pPr>
              <w:pStyle w:val="23"/>
              <w:adjustRightInd/>
              <w:snapToGrid w:val="0"/>
              <w:spacing w:line="520" w:lineRule="exact"/>
              <w:ind w:left="0" w:right="0" w:firstLine="462" w:firstLineChars="200"/>
              <w:contextualSpacing/>
              <w:jc w:val="both"/>
            </w:pPr>
            <w:r>
              <w:rPr>
                <w:rFonts w:hint="eastAsia"/>
              </w:rPr>
              <w:t>本项目为君山区中心城区旅游路片区排水工程，属于市政公用工程。项目为非污染的生态类工程项目，不设总量控制指标。</w:t>
            </w:r>
          </w:p>
          <w:p>
            <w:pPr>
              <w:spacing w:line="520" w:lineRule="exact"/>
              <w:ind w:firstLine="462" w:firstLineChars="200"/>
              <w:jc w:val="center"/>
              <w:rPr>
                <w:color w:val="FF0000"/>
                <w:sz w:val="24"/>
                <w:szCs w:val="24"/>
              </w:rPr>
            </w:pPr>
          </w:p>
          <w:p>
            <w:pPr>
              <w:keepNext/>
              <w:spacing w:line="360" w:lineRule="auto"/>
              <w:ind w:firstLine="462" w:firstLineChars="200"/>
              <w:jc w:val="center"/>
              <w:rPr>
                <w:color w:val="FF0000"/>
                <w:sz w:val="24"/>
                <w:szCs w:val="24"/>
              </w:rPr>
            </w:pPr>
          </w:p>
          <w:p>
            <w:pPr>
              <w:keepNext/>
              <w:spacing w:line="360" w:lineRule="auto"/>
              <w:ind w:firstLine="462" w:firstLineChars="200"/>
              <w:jc w:val="center"/>
              <w:rPr>
                <w:color w:val="FF0000"/>
                <w:sz w:val="24"/>
                <w:szCs w:val="24"/>
              </w:rPr>
            </w:pPr>
          </w:p>
          <w:p>
            <w:pPr>
              <w:keepNext/>
              <w:spacing w:line="360" w:lineRule="auto"/>
              <w:ind w:firstLine="462" w:firstLineChars="200"/>
              <w:jc w:val="center"/>
              <w:rPr>
                <w:color w:val="FF0000"/>
                <w:sz w:val="24"/>
                <w:szCs w:val="24"/>
              </w:rPr>
            </w:pPr>
          </w:p>
          <w:p>
            <w:pPr>
              <w:keepNext/>
              <w:spacing w:line="360" w:lineRule="auto"/>
              <w:ind w:firstLine="462" w:firstLineChars="200"/>
              <w:jc w:val="center"/>
              <w:rPr>
                <w:snapToGrid w:val="0"/>
                <w:color w:val="FF0000"/>
                <w:kern w:val="0"/>
                <w:sz w:val="24"/>
                <w:szCs w:val="24"/>
              </w:rPr>
            </w:pPr>
          </w:p>
        </w:tc>
      </w:tr>
    </w:tbl>
    <w:p>
      <w:pPr>
        <w:snapToGrid w:val="0"/>
        <w:textAlignment w:val="baseline"/>
        <w:outlineLvl w:val="0"/>
        <w:rPr>
          <w:rFonts w:eastAsia="黑体"/>
          <w:b/>
          <w:color w:val="000000"/>
          <w:kern w:val="24"/>
          <w:sz w:val="32"/>
        </w:rPr>
      </w:pPr>
      <w:r>
        <w:rPr>
          <w:rFonts w:eastAsia="黑体"/>
          <w:color w:val="FF0000"/>
          <w:sz w:val="32"/>
        </w:rPr>
        <w:br w:type="page"/>
      </w:r>
      <w:bookmarkStart w:id="7" w:name="_Toc460481178"/>
      <w:r>
        <w:rPr>
          <w:rFonts w:hint="eastAsia" w:eastAsia="黑体"/>
          <w:b/>
          <w:color w:val="000000"/>
          <w:sz w:val="32"/>
        </w:rPr>
        <w:t>五、</w:t>
      </w:r>
      <w:r>
        <w:rPr>
          <w:rFonts w:eastAsia="黑体"/>
          <w:b/>
          <w:color w:val="000000"/>
          <w:sz w:val="32"/>
        </w:rPr>
        <w:t>建设项目工程分析</w:t>
      </w:r>
      <w:bookmarkEnd w:id="7"/>
    </w:p>
    <w:tbl>
      <w:tblPr>
        <w:tblStyle w:val="19"/>
        <w:tblW w:w="9388"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12" w:space="0"/>
        </w:tblBorders>
        <w:tblLayout w:type="fixed"/>
        <w:tblCellMar>
          <w:top w:w="0" w:type="dxa"/>
          <w:left w:w="85" w:type="dxa"/>
          <w:bottom w:w="0" w:type="dxa"/>
          <w:right w:w="85" w:type="dxa"/>
        </w:tblCellMar>
      </w:tblPr>
      <w:tblGrid>
        <w:gridCol w:w="93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12" w:space="0"/>
          </w:tblBorders>
          <w:tblLayout w:type="fixed"/>
          <w:tblCellMar>
            <w:top w:w="0" w:type="dxa"/>
            <w:left w:w="85" w:type="dxa"/>
            <w:bottom w:w="0" w:type="dxa"/>
            <w:right w:w="85" w:type="dxa"/>
          </w:tblCellMar>
        </w:tblPrEx>
        <w:trPr>
          <w:trHeight w:val="454" w:hRule="atLeast"/>
          <w:jc w:val="center"/>
        </w:trPr>
        <w:tc>
          <w:tcPr>
            <w:tcW w:w="9388" w:type="dxa"/>
          </w:tcPr>
          <w:p>
            <w:pPr>
              <w:snapToGrid w:val="0"/>
              <w:spacing w:line="520" w:lineRule="exact"/>
              <w:ind w:firstLine="542" w:firstLineChars="200"/>
              <w:contextualSpacing/>
              <w:rPr>
                <w:b/>
                <w:color w:val="000000"/>
                <w:sz w:val="28"/>
                <w:szCs w:val="28"/>
              </w:rPr>
            </w:pPr>
            <w:r>
              <w:rPr>
                <w:rFonts w:hint="eastAsia"/>
                <w:b/>
                <w:color w:val="000000"/>
                <w:sz w:val="28"/>
                <w:szCs w:val="28"/>
              </w:rPr>
              <w:t>1、工艺流程简述（图示）：</w:t>
            </w:r>
          </w:p>
          <w:p>
            <w:pPr>
              <w:spacing w:line="520" w:lineRule="exact"/>
              <w:ind w:firstLine="462" w:firstLineChars="200"/>
              <w:rPr>
                <w:sz w:val="24"/>
                <w:szCs w:val="24"/>
              </w:rPr>
            </w:pPr>
            <w:r>
              <w:rPr>
                <w:rFonts w:hint="eastAsia"/>
                <w:sz w:val="24"/>
                <w:szCs w:val="24"/>
              </w:rPr>
              <w:t>（1）施工期</w:t>
            </w:r>
          </w:p>
          <w:p>
            <w:pPr>
              <w:spacing w:line="520" w:lineRule="exact"/>
              <w:ind w:firstLine="462" w:firstLineChars="200"/>
              <w:rPr>
                <w:sz w:val="24"/>
                <w:szCs w:val="24"/>
              </w:rPr>
            </w:pPr>
            <w:r>
              <w:rPr>
                <w:sz w:val="24"/>
                <w:szCs w:val="24"/>
              </w:rPr>
              <w:t>本项目为</w:t>
            </w:r>
            <w:r>
              <w:rPr>
                <w:rFonts w:hint="eastAsia"/>
                <w:sz w:val="24"/>
              </w:rPr>
              <w:t>君山区中心城区旅游路片排水工程</w:t>
            </w:r>
            <w:r>
              <w:rPr>
                <w:sz w:val="24"/>
                <w:szCs w:val="24"/>
              </w:rPr>
              <w:t>，项目主要建设内容为</w:t>
            </w:r>
            <w:r>
              <w:rPr>
                <w:rFonts w:hint="eastAsia"/>
                <w:sz w:val="24"/>
                <w:szCs w:val="24"/>
              </w:rPr>
              <w:t>铺设</w:t>
            </w:r>
            <w:r>
              <w:rPr>
                <w:sz w:val="24"/>
                <w:szCs w:val="24"/>
              </w:rPr>
              <w:t>管道。项目主要为君山区中心城区</w:t>
            </w:r>
            <w:r>
              <w:rPr>
                <w:rFonts w:hint="eastAsia"/>
                <w:sz w:val="24"/>
                <w:szCs w:val="24"/>
              </w:rPr>
              <w:t>旅游路</w:t>
            </w:r>
            <w:r>
              <w:rPr>
                <w:sz w:val="24"/>
                <w:szCs w:val="24"/>
              </w:rPr>
              <w:t>片区铺设，开挖施工主要工序为路面开挖、基底处理、管道安装等，顶管施工主要工序为挖操作井和接受坑、顶管、测量、纠偏、清除泥土等。项目分段施工，不设置施工营地及施工场地，施工人员多为当地居民，可自行解决食宿。</w:t>
            </w:r>
            <w:r>
              <w:rPr>
                <w:rFonts w:hint="eastAsia"/>
                <w:sz w:val="24"/>
                <w:szCs w:val="24"/>
              </w:rPr>
              <w:t>项目主要施工流程见图5-1、图5-2。</w:t>
            </w:r>
          </w:p>
          <w:p>
            <w:pPr>
              <w:widowControl/>
              <w:jc w:val="center"/>
              <w:rPr>
                <w:rFonts w:ascii="宋体" w:hAnsi="宋体" w:cs="宋体"/>
                <w:kern w:val="0"/>
                <w:sz w:val="24"/>
                <w:szCs w:val="24"/>
              </w:rPr>
            </w:pPr>
            <w:r>
              <w:rPr>
                <w:rFonts w:ascii="宋体" w:hAnsi="宋体" w:cs="宋体"/>
                <w:kern w:val="0"/>
                <w:sz w:val="24"/>
                <w:szCs w:val="24"/>
              </w:rPr>
              <w:fldChar w:fldCharType="begin"/>
            </w:r>
            <w:r>
              <w:rPr>
                <w:rFonts w:ascii="宋体" w:hAnsi="宋体" w:cs="宋体"/>
                <w:kern w:val="0"/>
                <w:sz w:val="24"/>
                <w:szCs w:val="24"/>
              </w:rPr>
              <w:instrText xml:space="preserve"> INCLUDEPICTURE "C:\\Users\\Administrator\\AppData\\Roaming\\Tencent\\Users\\75795492\\QQ\\WinTemp\\RichOle\\MQAG9Q75~)4TD~`3L9Z7E~5.png" \* MERGEFORMATINET </w:instrText>
            </w:r>
            <w:r>
              <w:rPr>
                <w:rFonts w:ascii="宋体" w:hAnsi="宋体" w:cs="宋体"/>
                <w:kern w:val="0"/>
                <w:sz w:val="24"/>
                <w:szCs w:val="24"/>
              </w:rPr>
              <w:fldChar w:fldCharType="separate"/>
            </w:r>
            <w:r>
              <w:rPr>
                <w:rFonts w:ascii="宋体" w:hAnsi="宋体" w:cs="宋体"/>
                <w:kern w:val="0"/>
                <w:sz w:val="24"/>
                <w:szCs w:val="24"/>
              </w:rPr>
              <w:drawing>
                <wp:inline distT="0" distB="0" distL="114300" distR="114300">
                  <wp:extent cx="5667375" cy="1209675"/>
                  <wp:effectExtent l="0" t="0" r="9525" b="9525"/>
                  <wp:docPr id="1" name="图片 1" descr="MQAG9Q75~)4TD~`3L9Z7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QAG9Q75~)4TD~`3L9Z7E~5"/>
                          <pic:cNvPicPr>
                            <a:picLocks noChangeAspect="1"/>
                          </pic:cNvPicPr>
                        </pic:nvPicPr>
                        <pic:blipFill>
                          <a:blip r:embed="rId9" cstate="print"/>
                          <a:stretch>
                            <a:fillRect/>
                          </a:stretch>
                        </pic:blipFill>
                        <pic:spPr>
                          <a:xfrm>
                            <a:off x="0" y="0"/>
                            <a:ext cx="5667375" cy="1209675"/>
                          </a:xfrm>
                          <a:prstGeom prst="rect">
                            <a:avLst/>
                          </a:prstGeom>
                          <a:noFill/>
                          <a:ln w="9525">
                            <a:noFill/>
                          </a:ln>
                        </pic:spPr>
                      </pic:pic>
                    </a:graphicData>
                  </a:graphic>
                </wp:inline>
              </w:drawing>
            </w:r>
            <w:r>
              <w:rPr>
                <w:rFonts w:ascii="宋体" w:hAnsi="宋体" w:cs="宋体"/>
                <w:kern w:val="0"/>
                <w:sz w:val="24"/>
                <w:szCs w:val="24"/>
              </w:rPr>
              <w:fldChar w:fldCharType="end"/>
            </w:r>
          </w:p>
          <w:p>
            <w:pPr>
              <w:spacing w:before="162" w:beforeLines="50" w:line="360" w:lineRule="auto"/>
              <w:jc w:val="center"/>
              <w:rPr>
                <w:b/>
                <w:sz w:val="24"/>
                <w:szCs w:val="24"/>
              </w:rPr>
            </w:pPr>
            <w:r>
              <w:rPr>
                <w:b/>
                <w:sz w:val="24"/>
                <w:szCs w:val="24"/>
              </w:rPr>
              <w:t>图5-1  项目开挖污水管施工流程及排污节点图</w:t>
            </w:r>
          </w:p>
          <w:p>
            <w:pPr>
              <w:widowControl/>
              <w:jc w:val="center"/>
              <w:rPr>
                <w:rFonts w:ascii="宋体" w:hAnsi="宋体" w:cs="宋体"/>
                <w:kern w:val="0"/>
                <w:sz w:val="24"/>
                <w:szCs w:val="24"/>
              </w:rPr>
            </w:pPr>
            <w:r>
              <w:rPr>
                <w:rFonts w:ascii="宋体" w:hAnsi="宋体" w:cs="宋体"/>
                <w:kern w:val="0"/>
                <w:sz w:val="24"/>
                <w:szCs w:val="24"/>
              </w:rPr>
              <w:fldChar w:fldCharType="begin"/>
            </w:r>
            <w:r>
              <w:rPr>
                <w:rFonts w:ascii="宋体" w:hAnsi="宋体" w:cs="宋体"/>
                <w:kern w:val="0"/>
                <w:sz w:val="24"/>
                <w:szCs w:val="24"/>
              </w:rPr>
              <w:instrText xml:space="preserve"> INCLUDEPICTURE "C:\\Users\\Administrator\\AppData\\Roaming\\Tencent\\Users\\75795492\\QQ\\WinTemp\\RichOle\\$19F{R`(N){9W_LF`YDPEBH.png" \* MERGEFORMATINET </w:instrText>
            </w:r>
            <w:r>
              <w:rPr>
                <w:rFonts w:ascii="宋体" w:hAnsi="宋体" w:cs="宋体"/>
                <w:kern w:val="0"/>
                <w:sz w:val="24"/>
                <w:szCs w:val="24"/>
              </w:rPr>
              <w:fldChar w:fldCharType="separate"/>
            </w:r>
            <w:r>
              <w:rPr>
                <w:rFonts w:ascii="宋体" w:hAnsi="宋体" w:cs="宋体"/>
                <w:kern w:val="0"/>
                <w:sz w:val="24"/>
                <w:szCs w:val="24"/>
              </w:rPr>
              <w:drawing>
                <wp:inline distT="0" distB="0" distL="114300" distR="114300">
                  <wp:extent cx="5621020" cy="1750060"/>
                  <wp:effectExtent l="0" t="0" r="17780" b="2540"/>
                  <wp:docPr id="2" name="图片 2" descr="$19F{R`(N){9W_LF`YDPEB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9F{R`(N){9W_LF`YDPEBH"/>
                          <pic:cNvPicPr>
                            <a:picLocks noChangeAspect="1"/>
                          </pic:cNvPicPr>
                        </pic:nvPicPr>
                        <pic:blipFill>
                          <a:blip r:embed="rId10" cstate="print"/>
                          <a:stretch>
                            <a:fillRect/>
                          </a:stretch>
                        </pic:blipFill>
                        <pic:spPr>
                          <a:xfrm>
                            <a:off x="0" y="0"/>
                            <a:ext cx="5621020" cy="1750060"/>
                          </a:xfrm>
                          <a:prstGeom prst="rect">
                            <a:avLst/>
                          </a:prstGeom>
                          <a:noFill/>
                          <a:ln w="9525">
                            <a:noFill/>
                          </a:ln>
                        </pic:spPr>
                      </pic:pic>
                    </a:graphicData>
                  </a:graphic>
                </wp:inline>
              </w:drawing>
            </w:r>
            <w:r>
              <w:rPr>
                <w:rFonts w:ascii="宋体" w:hAnsi="宋体" w:cs="宋体"/>
                <w:kern w:val="0"/>
                <w:sz w:val="24"/>
                <w:szCs w:val="24"/>
              </w:rPr>
              <w:fldChar w:fldCharType="end"/>
            </w:r>
          </w:p>
          <w:p>
            <w:pPr>
              <w:spacing w:before="162" w:beforeLines="50" w:line="360" w:lineRule="auto"/>
              <w:jc w:val="center"/>
              <w:rPr>
                <w:b/>
                <w:sz w:val="24"/>
                <w:szCs w:val="24"/>
              </w:rPr>
            </w:pPr>
            <w:r>
              <w:rPr>
                <w:rFonts w:hint="eastAsia"/>
                <w:b/>
                <w:sz w:val="24"/>
                <w:szCs w:val="24"/>
              </w:rPr>
              <w:t>图5-2  项目顶管施工流程及排污节点图</w:t>
            </w:r>
          </w:p>
          <w:p>
            <w:pPr>
              <w:numPr>
                <w:ilvl w:val="0"/>
                <w:numId w:val="2"/>
              </w:numPr>
              <w:spacing w:line="520" w:lineRule="exact"/>
              <w:ind w:firstLine="462" w:firstLineChars="200"/>
              <w:rPr>
                <w:sz w:val="24"/>
                <w:szCs w:val="24"/>
              </w:rPr>
            </w:pPr>
            <w:r>
              <w:rPr>
                <w:rFonts w:hint="eastAsia"/>
                <w:sz w:val="24"/>
                <w:szCs w:val="24"/>
              </w:rPr>
              <w:t>营运期</w:t>
            </w:r>
          </w:p>
          <w:p>
            <w:pPr>
              <w:spacing w:line="520" w:lineRule="exact"/>
              <w:ind w:firstLine="462" w:firstLineChars="200"/>
              <w:rPr>
                <w:sz w:val="24"/>
                <w:szCs w:val="24"/>
              </w:rPr>
            </w:pPr>
            <w:r>
              <w:rPr>
                <w:rFonts w:hint="eastAsia"/>
                <w:sz w:val="24"/>
                <w:szCs w:val="24"/>
              </w:rPr>
              <w:t>本项目不属于工业项目，营运过程无生产工艺，本项目不设置泵站房和管理用房，也不新增工作人员，因此本项目营运期无任何污染物产生。</w:t>
            </w:r>
          </w:p>
          <w:p>
            <w:pPr>
              <w:numPr>
                <w:ilvl w:val="0"/>
                <w:numId w:val="3"/>
              </w:numPr>
              <w:snapToGrid w:val="0"/>
              <w:spacing w:line="520" w:lineRule="exact"/>
              <w:ind w:firstLine="542" w:firstLineChars="200"/>
              <w:contextualSpacing/>
              <w:rPr>
                <w:b/>
                <w:sz w:val="28"/>
                <w:szCs w:val="28"/>
              </w:rPr>
            </w:pPr>
            <w:r>
              <w:rPr>
                <w:rFonts w:hint="eastAsia"/>
                <w:b/>
                <w:sz w:val="28"/>
                <w:szCs w:val="28"/>
              </w:rPr>
              <w:t>主要污染工序</w:t>
            </w:r>
          </w:p>
          <w:p>
            <w:pPr>
              <w:spacing w:line="520" w:lineRule="exact"/>
              <w:ind w:firstLine="402" w:firstLineChars="200"/>
            </w:pPr>
            <w:r>
              <w:rPr>
                <w:rFonts w:hint="eastAsia"/>
              </w:rPr>
              <w:t xml:space="preserve"> </w:t>
            </w:r>
            <w:r>
              <w:rPr>
                <w:rFonts w:hint="eastAsia"/>
                <w:sz w:val="24"/>
                <w:szCs w:val="24"/>
              </w:rPr>
              <w:t>本工程对环境的影响主要出现在施工期。施工期的环境问题主要是施工机械设备的噪声、填挖方产生的扬尘、余泥渣土(弃方) 的处置、水土流失等对环境尤其是沿线敏感点的影响，以及道路开挖对居民出行和交通的影响等。</w:t>
            </w:r>
          </w:p>
          <w:p>
            <w:pPr>
              <w:snapToGrid w:val="0"/>
              <w:spacing w:line="520" w:lineRule="exact"/>
              <w:ind w:firstLine="462" w:firstLineChars="200"/>
              <w:contextualSpacing/>
              <w:rPr>
                <w:color w:val="000000"/>
                <w:sz w:val="24"/>
                <w:szCs w:val="24"/>
              </w:rPr>
            </w:pPr>
            <w:r>
              <w:rPr>
                <w:color w:val="000000"/>
                <w:sz w:val="24"/>
                <w:szCs w:val="24"/>
              </w:rPr>
              <w:t>（</w:t>
            </w:r>
            <w:r>
              <w:rPr>
                <w:rFonts w:hint="eastAsia"/>
                <w:color w:val="000000"/>
                <w:sz w:val="24"/>
                <w:szCs w:val="24"/>
              </w:rPr>
              <w:t>1</w:t>
            </w:r>
            <w:r>
              <w:rPr>
                <w:color w:val="000000"/>
                <w:sz w:val="24"/>
                <w:szCs w:val="24"/>
              </w:rPr>
              <w:t>）</w:t>
            </w:r>
            <w:r>
              <w:rPr>
                <w:rFonts w:hint="eastAsia"/>
                <w:color w:val="000000"/>
                <w:sz w:val="24"/>
                <w:szCs w:val="24"/>
              </w:rPr>
              <w:t>施工期污染源分析</w:t>
            </w:r>
          </w:p>
          <w:p>
            <w:pPr>
              <w:snapToGrid w:val="0"/>
              <w:spacing w:line="520" w:lineRule="exact"/>
              <w:ind w:firstLine="462" w:firstLineChars="200"/>
              <w:contextualSpacing/>
              <w:rPr>
                <w:color w:val="000000"/>
                <w:sz w:val="24"/>
              </w:rPr>
            </w:pPr>
            <w:r>
              <w:rPr>
                <w:color w:val="000000"/>
                <w:sz w:val="24"/>
              </w:rPr>
              <w:t>1）施工期大气污染源分析</w:t>
            </w:r>
          </w:p>
          <w:p>
            <w:pPr>
              <w:snapToGrid w:val="0"/>
              <w:spacing w:line="520" w:lineRule="exact"/>
              <w:ind w:firstLine="462" w:firstLineChars="200"/>
              <w:contextualSpacing/>
              <w:rPr>
                <w:color w:val="000000"/>
                <w:sz w:val="24"/>
              </w:rPr>
            </w:pPr>
            <w:r>
              <w:rPr>
                <w:rFonts w:hint="eastAsia"/>
                <w:color w:val="000000"/>
                <w:sz w:val="24"/>
              </w:rPr>
              <w:t>施工期废气主要为挖掘机、运输车辆等运行引起的扬尘、汽车及机械尾气。</w:t>
            </w:r>
          </w:p>
          <w:p>
            <w:pPr>
              <w:snapToGrid w:val="0"/>
              <w:spacing w:line="520" w:lineRule="exact"/>
              <w:ind w:firstLine="462" w:firstLineChars="200"/>
              <w:contextualSpacing/>
              <w:rPr>
                <w:color w:val="000000"/>
                <w:sz w:val="24"/>
              </w:rPr>
            </w:pPr>
            <w:r>
              <w:rPr>
                <w:rFonts w:ascii="宋体" w:hAnsi="宋体"/>
                <w:color w:val="000000"/>
                <w:sz w:val="24"/>
              </w:rPr>
              <w:t>①</w:t>
            </w:r>
            <w:r>
              <w:rPr>
                <w:color w:val="000000"/>
                <w:sz w:val="24"/>
              </w:rPr>
              <w:t>扬尘</w:t>
            </w:r>
          </w:p>
          <w:p>
            <w:pPr>
              <w:snapToGrid w:val="0"/>
              <w:spacing w:line="520" w:lineRule="exact"/>
              <w:ind w:firstLine="462" w:firstLineChars="200"/>
              <w:contextualSpacing/>
              <w:rPr>
                <w:color w:val="000000"/>
                <w:sz w:val="24"/>
              </w:rPr>
            </w:pPr>
            <w:r>
              <w:rPr>
                <w:color w:val="000000"/>
                <w:sz w:val="24"/>
              </w:rPr>
              <w:t>本项目路面破除、管沟开挖、回填土方、路面恢复及工作井施工过程均会产生扬尘，扬尘量的大小与施工现场条件、管理水平、机械化程度及施工季节、土质及天气条件等诸多因素有关。根据类比调查，施工及运输车辆引起的扬尘对路边30m范围内影响较大，而且成线形污染，路边的TSP可达10mg/m</w:t>
            </w:r>
            <w:r>
              <w:rPr>
                <w:color w:val="000000"/>
                <w:sz w:val="24"/>
                <w:vertAlign w:val="superscript"/>
              </w:rPr>
              <w:t>3</w:t>
            </w:r>
            <w:r>
              <w:rPr>
                <w:color w:val="000000"/>
                <w:sz w:val="24"/>
              </w:rPr>
              <w:t>以上，一般浓度在1.5~30mg/m</w:t>
            </w:r>
            <w:r>
              <w:rPr>
                <w:color w:val="000000"/>
                <w:sz w:val="24"/>
                <w:vertAlign w:val="superscript"/>
              </w:rPr>
              <w:t>3</w:t>
            </w:r>
            <w:r>
              <w:rPr>
                <w:color w:val="000000"/>
                <w:sz w:val="24"/>
              </w:rPr>
              <w:t>之间。在地面开挖和沟槽回填所引起的扬尘主要影响50m以内的范围，50m处的TSP浓度已接近其背景值。</w:t>
            </w:r>
          </w:p>
          <w:p>
            <w:pPr>
              <w:snapToGrid w:val="0"/>
              <w:spacing w:line="520" w:lineRule="exact"/>
              <w:ind w:firstLine="462" w:firstLineChars="200"/>
              <w:contextualSpacing/>
              <w:rPr>
                <w:color w:val="000000"/>
                <w:sz w:val="24"/>
              </w:rPr>
            </w:pPr>
            <w:r>
              <w:rPr>
                <w:rFonts w:ascii="宋体" w:hAnsi="宋体"/>
                <w:color w:val="000000"/>
                <w:sz w:val="24"/>
              </w:rPr>
              <w:t>②</w:t>
            </w:r>
            <w:r>
              <w:rPr>
                <w:color w:val="000000"/>
                <w:sz w:val="24"/>
              </w:rPr>
              <w:t>汽车、机械尾气</w:t>
            </w:r>
          </w:p>
          <w:p>
            <w:pPr>
              <w:snapToGrid w:val="0"/>
              <w:spacing w:line="520" w:lineRule="exact"/>
              <w:ind w:firstLine="462" w:firstLineChars="200"/>
              <w:contextualSpacing/>
              <w:rPr>
                <w:color w:val="000000"/>
                <w:sz w:val="24"/>
              </w:rPr>
            </w:pPr>
            <w:r>
              <w:rPr>
                <w:color w:val="000000"/>
                <w:sz w:val="24"/>
              </w:rPr>
              <w:t>施工机械和运输车辆产生的尾气主要含有CO、NO</w:t>
            </w:r>
            <w:r>
              <w:rPr>
                <w:color w:val="000000"/>
                <w:sz w:val="24"/>
                <w:vertAlign w:val="subscript"/>
              </w:rPr>
              <w:t>X</w:t>
            </w:r>
            <w:r>
              <w:rPr>
                <w:color w:val="000000"/>
                <w:sz w:val="24"/>
              </w:rPr>
              <w:t>、碳氢化合物等，一般大型车辆尾气污染物排放量为：CO：5.25g/辆·km，THC：20.8g/辆·km，NOx：10.44g/辆·km。</w:t>
            </w:r>
          </w:p>
          <w:p>
            <w:pPr>
              <w:snapToGrid w:val="0"/>
              <w:spacing w:line="520" w:lineRule="exact"/>
              <w:ind w:firstLine="462" w:firstLineChars="200"/>
              <w:contextualSpacing/>
              <w:rPr>
                <w:color w:val="000000"/>
                <w:sz w:val="24"/>
              </w:rPr>
            </w:pPr>
            <w:r>
              <w:rPr>
                <w:color w:val="000000"/>
                <w:sz w:val="24"/>
              </w:rPr>
              <w:t>2</w:t>
            </w:r>
            <w:r>
              <w:rPr>
                <w:rFonts w:hAnsi="宋体"/>
                <w:color w:val="000000"/>
                <w:sz w:val="24"/>
              </w:rPr>
              <w:t>）施工期水污染源分析</w:t>
            </w:r>
          </w:p>
          <w:p>
            <w:pPr>
              <w:snapToGrid w:val="0"/>
              <w:spacing w:line="520" w:lineRule="exact"/>
              <w:ind w:firstLine="462" w:firstLineChars="200"/>
              <w:contextualSpacing/>
              <w:rPr>
                <w:color w:val="000000"/>
                <w:sz w:val="24"/>
              </w:rPr>
            </w:pPr>
            <w:r>
              <w:rPr>
                <w:rFonts w:hAnsi="宋体"/>
                <w:color w:val="000000"/>
                <w:sz w:val="24"/>
              </w:rPr>
              <w:t>项目路面挖深较浅，不存在地下涌水，项目施工人员租用周围民房作为施工营地，施工人员生活污水依托租用居民现有化粪池进行处理，经化粪池处理后用作农肥。因此，施工期废水主要为施工废水。</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工程施工废水包括施工机械洗涤用水、施工现场清洗废水，这部分废水主要污染物为COD、SS和石油类。类比同类项目，其主要污染物浓度COD 为300mg/L、SS 为350mg/L、石油类10mg/L。</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3）施工期噪声污染源分析</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施工期间主要使用的机械包括装载机、挖掘机、推土机等，为主要施工噪声源，噪声级为80~92dB（A）。由于管道施工具有施工点多、线长的特点，因而一般情况下施工机械分布比较分散，多数情况下只要1~2只台施工设备在同一作业点同时使用。</w:t>
            </w:r>
          </w:p>
          <w:p>
            <w:pPr>
              <w:pStyle w:val="21"/>
              <w:autoSpaceDE/>
              <w:autoSpaceDN/>
              <w:adjustRightInd/>
              <w:snapToGrid w:val="0"/>
              <w:spacing w:line="520" w:lineRule="exact"/>
              <w:contextualSpacing/>
              <w:jc w:val="center"/>
              <w:rPr>
                <w:rFonts w:ascii="Times New Roman"/>
                <w:b/>
              </w:rPr>
            </w:pPr>
            <w:r>
              <w:rPr>
                <w:rFonts w:ascii="Times New Roman"/>
                <w:b/>
              </w:rPr>
              <w:t>表5-1   管网工程主要施工噪声源强表    单位：dB（A）</w:t>
            </w:r>
          </w:p>
          <w:tbl>
            <w:tblPr>
              <w:tblStyle w:val="19"/>
              <w:tblW w:w="8293"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81"/>
              <w:gridCol w:w="2835"/>
              <w:gridCol w:w="297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设备名称</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声源特点</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距离设备5m处噪声值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装载机</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不稳态源</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推土机</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流动不稳态源</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82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挖掘机</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不稳态源</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84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移动式吊车</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流动不稳态源</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2481"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运输车辆</w:t>
                  </w:r>
                </w:p>
              </w:tc>
              <w:tc>
                <w:tcPr>
                  <w:tcW w:w="2835"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流动不稳态源</w:t>
                  </w:r>
                </w:p>
              </w:tc>
              <w:tc>
                <w:tcPr>
                  <w:tcW w:w="2977" w:type="dxa"/>
                  <w:vAlign w:val="center"/>
                </w:tcPr>
                <w:p>
                  <w:pPr>
                    <w:pStyle w:val="21"/>
                    <w:autoSpaceDE/>
                    <w:autoSpaceDN/>
                    <w:adjustRightInd/>
                    <w:snapToGrid w:val="0"/>
                    <w:spacing w:line="360" w:lineRule="exact"/>
                    <w:contextualSpacing/>
                    <w:jc w:val="center"/>
                    <w:rPr>
                      <w:rFonts w:ascii="Times New Roman"/>
                      <w:sz w:val="21"/>
                      <w:szCs w:val="21"/>
                    </w:rPr>
                  </w:pPr>
                  <w:r>
                    <w:rPr>
                      <w:rFonts w:hint="eastAsia" w:ascii="Times New Roman"/>
                      <w:sz w:val="21"/>
                      <w:szCs w:val="21"/>
                    </w:rPr>
                    <w:t>88</w:t>
                  </w:r>
                </w:p>
              </w:tc>
            </w:tr>
          </w:tbl>
          <w:p>
            <w:pPr>
              <w:pStyle w:val="21"/>
              <w:autoSpaceDE/>
              <w:autoSpaceDN/>
              <w:adjustRightInd/>
              <w:snapToGrid w:val="0"/>
              <w:spacing w:line="520" w:lineRule="exact"/>
              <w:ind w:firstLine="462" w:firstLineChars="200"/>
              <w:contextualSpacing/>
              <w:jc w:val="both"/>
              <w:rPr>
                <w:rFonts w:ascii="Times New Roman"/>
              </w:rPr>
            </w:pPr>
            <w:r>
              <w:rPr>
                <w:rFonts w:ascii="Times New Roman"/>
              </w:rPr>
              <w:t>4）施工期固废污染源分析</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施工期固体废物主要为管槽开挖产生的弃方、施工建筑垃圾。</w:t>
            </w:r>
          </w:p>
          <w:p>
            <w:pPr>
              <w:pStyle w:val="21"/>
              <w:autoSpaceDE/>
              <w:autoSpaceDN/>
              <w:adjustRightInd/>
              <w:snapToGrid w:val="0"/>
              <w:spacing w:line="520" w:lineRule="exact"/>
              <w:ind w:firstLine="462" w:firstLineChars="200"/>
              <w:contextualSpacing/>
              <w:jc w:val="both"/>
              <w:rPr>
                <w:rFonts w:ascii="Times New Roman"/>
                <w:color w:val="auto"/>
              </w:rPr>
            </w:pPr>
            <w:r>
              <w:rPr>
                <w:rFonts w:ascii="Times New Roman"/>
              </w:rPr>
              <w:t>项目弃方主要来源于排水管开挖产生的多余的土石方，根据项目土石方平衡，项目产生的弃渣</w:t>
            </w:r>
            <w:r>
              <w:rPr>
                <w:rFonts w:ascii="Times New Roman"/>
                <w:color w:val="auto"/>
              </w:rPr>
              <w:t>约6645m</w:t>
            </w:r>
            <w:r>
              <w:rPr>
                <w:rFonts w:ascii="Times New Roman"/>
                <w:color w:val="auto"/>
                <w:vertAlign w:val="superscript"/>
              </w:rPr>
              <w:t>3</w:t>
            </w:r>
            <w:r>
              <w:rPr>
                <w:rFonts w:ascii="Times New Roman"/>
                <w:color w:val="auto"/>
              </w:rPr>
              <w:t>。</w:t>
            </w:r>
          </w:p>
          <w:p>
            <w:pPr>
              <w:pStyle w:val="21"/>
              <w:autoSpaceDE/>
              <w:autoSpaceDN/>
              <w:adjustRightInd/>
              <w:snapToGrid w:val="0"/>
              <w:spacing w:line="520" w:lineRule="exact"/>
              <w:ind w:firstLine="462" w:firstLineChars="200"/>
              <w:contextualSpacing/>
              <w:jc w:val="both"/>
              <w:rPr>
                <w:rFonts w:ascii="Times New Roman"/>
                <w:color w:val="auto"/>
              </w:rPr>
            </w:pPr>
            <w:r>
              <w:rPr>
                <w:rFonts w:ascii="Times New Roman"/>
                <w:color w:val="auto"/>
              </w:rPr>
              <w:t>管道施工过程中会产生一定量的建筑垃圾，其主要为废塑料管，废接头、废螺丝等，项目工程量较小，产生的建筑垃圾量较少，约为1.5t。</w:t>
            </w:r>
          </w:p>
          <w:p>
            <w:pPr>
              <w:pStyle w:val="21"/>
              <w:autoSpaceDE/>
              <w:autoSpaceDN/>
              <w:adjustRightInd/>
              <w:snapToGrid w:val="0"/>
              <w:spacing w:line="520" w:lineRule="exact"/>
              <w:ind w:firstLine="462" w:firstLineChars="200"/>
              <w:contextualSpacing/>
              <w:jc w:val="both"/>
              <w:rPr>
                <w:rFonts w:ascii="Times New Roman"/>
                <w:color w:val="auto"/>
              </w:rPr>
            </w:pPr>
            <w:r>
              <w:rPr>
                <w:rFonts w:hint="eastAsia" w:ascii="Times New Roman"/>
                <w:color w:val="auto"/>
              </w:rPr>
              <w:t>5）</w:t>
            </w:r>
            <w:r>
              <w:rPr>
                <w:rFonts w:ascii="Times New Roman"/>
                <w:color w:val="auto"/>
              </w:rPr>
              <w:t>施工期水土流失</w:t>
            </w:r>
          </w:p>
          <w:p>
            <w:pPr>
              <w:spacing w:line="360" w:lineRule="auto"/>
              <w:ind w:firstLine="462" w:firstLineChars="200"/>
              <w:rPr>
                <w:sz w:val="24"/>
              </w:rPr>
            </w:pPr>
            <w:r>
              <w:rPr>
                <w:rFonts w:hint="eastAsia"/>
                <w:sz w:val="24"/>
              </w:rPr>
              <w:t>施工管道沟槽宽度为1~1.2m，开挖土方临时堆放与施工带两侧，开挖开外</w:t>
            </w:r>
            <w:r>
              <w:rPr>
                <w:sz w:val="24"/>
              </w:rPr>
              <w:t>施工期由于基坑开挖、土方回填等原因，破坏了原有地貌，扰动了表土结构，致使土体抗蚀能力降低，土壤侵蚀加剧，导致水土流失增加。施工期水土流失是本项目关注的重点。</w:t>
            </w:r>
          </w:p>
          <w:p>
            <w:pPr>
              <w:autoSpaceDE w:val="0"/>
              <w:autoSpaceDN w:val="0"/>
              <w:adjustRightInd w:val="0"/>
              <w:spacing w:line="360" w:lineRule="auto"/>
              <w:ind w:firstLine="462" w:firstLineChars="200"/>
              <w:rPr>
                <w:kern w:val="0"/>
                <w:sz w:val="24"/>
                <w:szCs w:val="21"/>
              </w:rPr>
            </w:pPr>
            <w:r>
              <w:rPr>
                <w:kern w:val="0"/>
                <w:sz w:val="24"/>
                <w:szCs w:val="21"/>
              </w:rPr>
              <w:t>管道沿线水土流失量可按以下公式进行估算：</w:t>
            </w:r>
          </w:p>
          <w:p>
            <w:pPr>
              <w:spacing w:line="360" w:lineRule="auto"/>
              <w:ind w:firstLine="462" w:firstLineChars="200"/>
              <w:jc w:val="center"/>
              <w:outlineLvl w:val="0"/>
              <w:rPr>
                <w:kern w:val="0"/>
                <w:sz w:val="24"/>
                <w:szCs w:val="21"/>
              </w:rPr>
            </w:pPr>
            <w:r>
              <w:rPr>
                <w:kern w:val="0"/>
                <w:sz w:val="24"/>
                <w:szCs w:val="21"/>
              </w:rPr>
              <w:t>W=｛（L×Z×γ/12）｝×n</w:t>
            </w:r>
          </w:p>
          <w:p>
            <w:pPr>
              <w:spacing w:line="360" w:lineRule="auto"/>
              <w:ind w:firstLine="462" w:firstLineChars="200"/>
              <w:rPr>
                <w:kern w:val="0"/>
                <w:sz w:val="24"/>
                <w:szCs w:val="21"/>
              </w:rPr>
            </w:pPr>
            <w:r>
              <w:rPr>
                <w:kern w:val="0"/>
                <w:sz w:val="24"/>
                <w:szCs w:val="21"/>
              </w:rPr>
              <w:t>式中：  W－水土流失量，t</w:t>
            </w:r>
          </w:p>
          <w:p>
            <w:pPr>
              <w:spacing w:line="360" w:lineRule="auto"/>
              <w:ind w:firstLine="462" w:firstLineChars="200"/>
              <w:rPr>
                <w:kern w:val="0"/>
                <w:sz w:val="24"/>
                <w:szCs w:val="21"/>
              </w:rPr>
            </w:pPr>
            <w:r>
              <w:rPr>
                <w:kern w:val="0"/>
                <w:sz w:val="24"/>
                <w:szCs w:val="21"/>
              </w:rPr>
              <w:t>L－管道穿越长度，km;</w:t>
            </w:r>
          </w:p>
          <w:p>
            <w:pPr>
              <w:spacing w:line="360" w:lineRule="auto"/>
              <w:ind w:firstLine="462" w:firstLineChars="200"/>
              <w:rPr>
                <w:kern w:val="0"/>
                <w:sz w:val="24"/>
                <w:szCs w:val="21"/>
              </w:rPr>
            </w:pPr>
            <w:r>
              <w:rPr>
                <w:kern w:val="0"/>
                <w:sz w:val="24"/>
                <w:szCs w:val="21"/>
              </w:rPr>
              <w:t>Z－管道施工带宽度，km;</w:t>
            </w:r>
          </w:p>
          <w:p>
            <w:pPr>
              <w:spacing w:line="360" w:lineRule="auto"/>
              <w:ind w:firstLine="462" w:firstLineChars="200"/>
              <w:rPr>
                <w:kern w:val="0"/>
                <w:sz w:val="24"/>
                <w:szCs w:val="21"/>
              </w:rPr>
            </w:pPr>
            <w:r>
              <w:rPr>
                <w:kern w:val="0"/>
                <w:sz w:val="24"/>
                <w:szCs w:val="21"/>
              </w:rPr>
              <w:t>γ－土壤侵蚀模数，t/km</w:t>
            </w:r>
            <w:r>
              <w:rPr>
                <w:kern w:val="0"/>
                <w:sz w:val="24"/>
                <w:szCs w:val="21"/>
                <w:vertAlign w:val="superscript"/>
              </w:rPr>
              <w:t>2</w:t>
            </w:r>
            <w:r>
              <w:rPr>
                <w:kern w:val="0"/>
                <w:sz w:val="24"/>
                <w:szCs w:val="21"/>
              </w:rPr>
              <w:t>.a;</w:t>
            </w:r>
          </w:p>
          <w:p>
            <w:pPr>
              <w:spacing w:line="360" w:lineRule="auto"/>
              <w:ind w:firstLine="462" w:firstLineChars="200"/>
              <w:rPr>
                <w:kern w:val="0"/>
                <w:sz w:val="24"/>
                <w:szCs w:val="21"/>
              </w:rPr>
            </w:pPr>
            <w:r>
              <w:rPr>
                <w:kern w:val="0"/>
                <w:sz w:val="24"/>
                <w:szCs w:val="21"/>
              </w:rPr>
              <w:t>n－施工时间，a</w:t>
            </w:r>
          </w:p>
          <w:p>
            <w:pPr>
              <w:autoSpaceDE w:val="0"/>
              <w:autoSpaceDN w:val="0"/>
              <w:adjustRightInd w:val="0"/>
              <w:spacing w:line="360" w:lineRule="auto"/>
              <w:ind w:firstLine="462" w:firstLineChars="200"/>
              <w:rPr>
                <w:sz w:val="24"/>
              </w:rPr>
            </w:pPr>
            <w:r>
              <w:rPr>
                <w:kern w:val="0"/>
                <w:sz w:val="24"/>
                <w:szCs w:val="21"/>
              </w:rPr>
              <w:t>经现场调查和资料分析，管道沿线基本为平地，地形起伏较小，水土流失量较小。土壤</w:t>
            </w:r>
            <w:r>
              <w:rPr>
                <w:kern w:val="0"/>
                <w:sz w:val="24"/>
              </w:rPr>
              <w:t>侵蚀模数取1500t/km</w:t>
            </w:r>
            <w:r>
              <w:rPr>
                <w:kern w:val="0"/>
                <w:sz w:val="24"/>
                <w:vertAlign w:val="superscript"/>
              </w:rPr>
              <w:t>2</w:t>
            </w:r>
            <w:r>
              <w:rPr>
                <w:kern w:val="0"/>
                <w:sz w:val="24"/>
              </w:rPr>
              <w:t>.a，另外施工按</w:t>
            </w:r>
            <w:r>
              <w:rPr>
                <w:rFonts w:hint="eastAsia"/>
                <w:kern w:val="0"/>
                <w:sz w:val="24"/>
              </w:rPr>
              <w:t>6</w:t>
            </w:r>
            <w:r>
              <w:rPr>
                <w:kern w:val="0"/>
                <w:sz w:val="24"/>
              </w:rPr>
              <w:t>个月计。经计算，沿线水土流失量</w:t>
            </w:r>
            <w:r>
              <w:rPr>
                <w:rFonts w:hint="eastAsia"/>
                <w:kern w:val="0"/>
                <w:sz w:val="24"/>
              </w:rPr>
              <w:t>15.4</w:t>
            </w:r>
            <w:r>
              <w:rPr>
                <w:kern w:val="0"/>
                <w:sz w:val="24"/>
              </w:rPr>
              <w:t>t，为轻度流失。</w:t>
            </w:r>
          </w:p>
          <w:p>
            <w:pPr>
              <w:pStyle w:val="21"/>
              <w:autoSpaceDE/>
              <w:autoSpaceDN/>
              <w:adjustRightInd/>
              <w:snapToGrid w:val="0"/>
              <w:spacing w:line="520" w:lineRule="exact"/>
              <w:ind w:firstLine="462" w:firstLineChars="200"/>
              <w:contextualSpacing/>
              <w:jc w:val="both"/>
              <w:rPr>
                <w:rFonts w:ascii="Times New Roman"/>
              </w:rPr>
            </w:pPr>
            <w:r>
              <w:rPr>
                <w:color w:val="auto"/>
              </w:rPr>
              <w:t>由前面的工程分析可知，在施工过程中需要进行基坑开挖，土石方施工以机械</w:t>
            </w:r>
            <w:r>
              <w:t>施工为主，采用铲运机和挖掘机配合自卸汽车施工，破坏原生地表土层结构，这是造成水土流失的主要原因。工程竣工后，以上水土流失情况将逐步得以消除。</w:t>
            </w:r>
          </w:p>
          <w:p>
            <w:pPr>
              <w:spacing w:line="520" w:lineRule="exact"/>
              <w:ind w:firstLine="462" w:firstLineChars="200"/>
              <w:contextualSpacing/>
              <w:rPr>
                <w:color w:val="000000"/>
                <w:sz w:val="24"/>
                <w:szCs w:val="24"/>
              </w:rPr>
            </w:pPr>
            <w:r>
              <w:rPr>
                <w:color w:val="000000"/>
                <w:sz w:val="24"/>
                <w:szCs w:val="24"/>
              </w:rPr>
              <w:t>（2）营运期污染源分析</w:t>
            </w:r>
          </w:p>
          <w:p>
            <w:pPr>
              <w:spacing w:line="520" w:lineRule="exact"/>
              <w:ind w:firstLine="462" w:firstLineChars="200"/>
              <w:rPr>
                <w:color w:val="FF0000"/>
                <w:kern w:val="24"/>
              </w:rPr>
            </w:pPr>
            <w:r>
              <w:rPr>
                <w:rFonts w:hint="eastAsia"/>
                <w:sz w:val="24"/>
                <w:szCs w:val="24"/>
              </w:rPr>
              <w:t>本项目不属于工业项目，营运过程无生产工艺，本项目不设置泵站房和管理用房，也不新增工作人员，因此本项目营运期无任何污染物产生。</w:t>
            </w:r>
          </w:p>
        </w:tc>
      </w:tr>
    </w:tbl>
    <w:p>
      <w:pPr>
        <w:snapToGrid w:val="0"/>
        <w:outlineLvl w:val="0"/>
        <w:rPr>
          <w:rFonts w:ascii="黑体" w:hAnsi="黑体" w:eastAsia="黑体"/>
          <w:b/>
          <w:color w:val="000000"/>
          <w:sz w:val="32"/>
          <w:szCs w:val="32"/>
        </w:rPr>
      </w:pPr>
      <w:r>
        <w:rPr>
          <w:color w:val="FF0000"/>
        </w:rPr>
        <w:br w:type="page"/>
      </w:r>
      <w:bookmarkStart w:id="8" w:name="_Toc460481179"/>
      <w:r>
        <w:rPr>
          <w:rFonts w:hint="eastAsia" w:ascii="黑体" w:hAnsi="黑体" w:eastAsia="黑体"/>
          <w:b/>
          <w:color w:val="000000"/>
          <w:sz w:val="32"/>
          <w:szCs w:val="32"/>
        </w:rPr>
        <w:t>六、</w:t>
      </w:r>
      <w:r>
        <w:rPr>
          <w:rFonts w:ascii="黑体" w:hAnsi="黑体" w:eastAsia="黑体"/>
          <w:b/>
          <w:color w:val="000000"/>
          <w:sz w:val="32"/>
          <w:szCs w:val="32"/>
        </w:rPr>
        <w:t>项目主要污染物产生及预计排放情况</w:t>
      </w:r>
      <w:bookmarkEnd w:id="8"/>
    </w:p>
    <w:tbl>
      <w:tblPr>
        <w:tblStyle w:val="19"/>
        <w:tblW w:w="95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992"/>
        <w:gridCol w:w="1276"/>
        <w:gridCol w:w="266"/>
        <w:gridCol w:w="1102"/>
        <w:gridCol w:w="1965"/>
        <w:gridCol w:w="28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1101" w:type="dxa"/>
            <w:vAlign w:val="center"/>
          </w:tcPr>
          <w:p>
            <w:pPr>
              <w:snapToGrid w:val="0"/>
              <w:jc w:val="center"/>
              <w:outlineLvl w:val="0"/>
              <w:rPr>
                <w:color w:val="000000"/>
                <w:sz w:val="24"/>
                <w:szCs w:val="24"/>
              </w:rPr>
            </w:pPr>
            <w:r>
              <w:rPr>
                <w:color w:val="000000"/>
                <w:sz w:val="24"/>
                <w:szCs w:val="24"/>
              </w:rPr>
              <w:t>类型</w:t>
            </w:r>
          </w:p>
          <w:p>
            <w:pPr>
              <w:snapToGrid w:val="0"/>
              <w:jc w:val="center"/>
              <w:outlineLvl w:val="0"/>
              <w:rPr>
                <w:color w:val="000000"/>
                <w:sz w:val="24"/>
                <w:szCs w:val="24"/>
              </w:rPr>
            </w:pPr>
            <w:r>
              <w:rPr>
                <w:color w:val="000000"/>
                <w:sz w:val="24"/>
                <w:szCs w:val="24"/>
              </w:rPr>
              <w:t>内容</w:t>
            </w:r>
          </w:p>
        </w:tc>
        <w:tc>
          <w:tcPr>
            <w:tcW w:w="2268" w:type="dxa"/>
            <w:gridSpan w:val="2"/>
            <w:vAlign w:val="center"/>
          </w:tcPr>
          <w:p>
            <w:pPr>
              <w:snapToGrid w:val="0"/>
              <w:jc w:val="center"/>
              <w:outlineLvl w:val="0"/>
              <w:rPr>
                <w:color w:val="000000"/>
                <w:sz w:val="24"/>
                <w:szCs w:val="24"/>
              </w:rPr>
            </w:pPr>
            <w:r>
              <w:rPr>
                <w:color w:val="000000"/>
                <w:sz w:val="24"/>
                <w:szCs w:val="24"/>
              </w:rPr>
              <w:t>排放源（编号）</w:t>
            </w:r>
          </w:p>
        </w:tc>
        <w:tc>
          <w:tcPr>
            <w:tcW w:w="1368" w:type="dxa"/>
            <w:gridSpan w:val="2"/>
            <w:vAlign w:val="center"/>
          </w:tcPr>
          <w:p>
            <w:pPr>
              <w:snapToGrid w:val="0"/>
              <w:jc w:val="center"/>
              <w:outlineLvl w:val="0"/>
              <w:rPr>
                <w:color w:val="000000"/>
                <w:sz w:val="24"/>
                <w:szCs w:val="24"/>
              </w:rPr>
            </w:pPr>
            <w:r>
              <w:rPr>
                <w:color w:val="000000"/>
                <w:sz w:val="24"/>
                <w:szCs w:val="24"/>
              </w:rPr>
              <w:t>污染物名称</w:t>
            </w:r>
          </w:p>
        </w:tc>
        <w:tc>
          <w:tcPr>
            <w:tcW w:w="1965" w:type="dxa"/>
            <w:vAlign w:val="center"/>
          </w:tcPr>
          <w:p>
            <w:pPr>
              <w:snapToGrid w:val="0"/>
              <w:jc w:val="center"/>
              <w:outlineLvl w:val="0"/>
              <w:rPr>
                <w:color w:val="000000"/>
                <w:sz w:val="24"/>
                <w:szCs w:val="24"/>
              </w:rPr>
            </w:pPr>
            <w:r>
              <w:rPr>
                <w:color w:val="000000"/>
                <w:sz w:val="24"/>
                <w:szCs w:val="24"/>
              </w:rPr>
              <w:t>处理前产生浓度及产生量（单位）</w:t>
            </w:r>
          </w:p>
        </w:tc>
        <w:tc>
          <w:tcPr>
            <w:tcW w:w="2812" w:type="dxa"/>
            <w:vAlign w:val="center"/>
          </w:tcPr>
          <w:p>
            <w:pPr>
              <w:snapToGrid w:val="0"/>
              <w:jc w:val="center"/>
              <w:outlineLvl w:val="0"/>
              <w:rPr>
                <w:color w:val="000000"/>
                <w:sz w:val="24"/>
                <w:szCs w:val="24"/>
              </w:rPr>
            </w:pPr>
            <w:r>
              <w:rPr>
                <w:color w:val="000000"/>
                <w:sz w:val="24"/>
                <w:szCs w:val="24"/>
              </w:rPr>
              <w:t>处理后产生浓度及产生量（单位）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101" w:type="dxa"/>
            <w:vMerge w:val="restart"/>
            <w:vAlign w:val="center"/>
          </w:tcPr>
          <w:p>
            <w:pPr>
              <w:snapToGrid w:val="0"/>
              <w:jc w:val="center"/>
              <w:outlineLvl w:val="0"/>
              <w:rPr>
                <w:color w:val="000000"/>
                <w:sz w:val="24"/>
                <w:szCs w:val="24"/>
              </w:rPr>
            </w:pPr>
            <w:r>
              <w:rPr>
                <w:color w:val="000000"/>
                <w:sz w:val="24"/>
                <w:szCs w:val="24"/>
              </w:rPr>
              <w:t>大气污染物</w:t>
            </w:r>
          </w:p>
        </w:tc>
        <w:tc>
          <w:tcPr>
            <w:tcW w:w="992" w:type="dxa"/>
            <w:vMerge w:val="restart"/>
            <w:vAlign w:val="center"/>
          </w:tcPr>
          <w:p>
            <w:pPr>
              <w:snapToGrid w:val="0"/>
              <w:jc w:val="center"/>
              <w:outlineLvl w:val="0"/>
              <w:rPr>
                <w:color w:val="000000"/>
                <w:sz w:val="24"/>
                <w:szCs w:val="24"/>
              </w:rPr>
            </w:pPr>
            <w:r>
              <w:rPr>
                <w:color w:val="000000"/>
                <w:sz w:val="24"/>
                <w:szCs w:val="24"/>
              </w:rPr>
              <w:t>施工期</w:t>
            </w:r>
          </w:p>
        </w:tc>
        <w:tc>
          <w:tcPr>
            <w:tcW w:w="1276" w:type="dxa"/>
            <w:vAlign w:val="center"/>
          </w:tcPr>
          <w:p>
            <w:pPr>
              <w:snapToGrid w:val="0"/>
              <w:jc w:val="center"/>
              <w:outlineLvl w:val="0"/>
              <w:rPr>
                <w:color w:val="000000"/>
                <w:sz w:val="24"/>
                <w:szCs w:val="24"/>
              </w:rPr>
            </w:pPr>
            <w:r>
              <w:rPr>
                <w:color w:val="000000"/>
                <w:sz w:val="24"/>
                <w:szCs w:val="24"/>
              </w:rPr>
              <w:t>施工扬尘</w:t>
            </w:r>
          </w:p>
        </w:tc>
        <w:tc>
          <w:tcPr>
            <w:tcW w:w="1368" w:type="dxa"/>
            <w:gridSpan w:val="2"/>
            <w:vAlign w:val="center"/>
          </w:tcPr>
          <w:p>
            <w:pPr>
              <w:snapToGrid w:val="0"/>
              <w:jc w:val="center"/>
              <w:outlineLvl w:val="0"/>
              <w:rPr>
                <w:color w:val="000000"/>
                <w:sz w:val="24"/>
                <w:szCs w:val="24"/>
              </w:rPr>
            </w:pPr>
            <w:r>
              <w:rPr>
                <w:color w:val="000000"/>
                <w:sz w:val="24"/>
                <w:szCs w:val="24"/>
              </w:rPr>
              <w:t>扬尘</w:t>
            </w:r>
          </w:p>
        </w:tc>
        <w:tc>
          <w:tcPr>
            <w:tcW w:w="1965" w:type="dxa"/>
            <w:vAlign w:val="center"/>
          </w:tcPr>
          <w:p>
            <w:pPr>
              <w:snapToGrid w:val="0"/>
              <w:jc w:val="center"/>
              <w:outlineLvl w:val="0"/>
              <w:rPr>
                <w:color w:val="000000"/>
                <w:sz w:val="24"/>
                <w:szCs w:val="24"/>
              </w:rPr>
            </w:pPr>
            <w:r>
              <w:rPr>
                <w:color w:val="000000"/>
                <w:sz w:val="24"/>
                <w:szCs w:val="24"/>
              </w:rPr>
              <w:t>少量，无组织排放</w:t>
            </w:r>
          </w:p>
        </w:tc>
        <w:tc>
          <w:tcPr>
            <w:tcW w:w="2812" w:type="dxa"/>
            <w:vAlign w:val="center"/>
          </w:tcPr>
          <w:p>
            <w:pPr>
              <w:snapToGrid w:val="0"/>
              <w:jc w:val="center"/>
              <w:outlineLvl w:val="0"/>
              <w:rPr>
                <w:color w:val="000000"/>
                <w:sz w:val="24"/>
                <w:szCs w:val="24"/>
              </w:rPr>
            </w:pPr>
            <w:r>
              <w:rPr>
                <w:color w:val="000000"/>
                <w:sz w:val="24"/>
                <w:szCs w:val="24"/>
              </w:rPr>
              <w:t>少量，无组织排放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1101" w:type="dxa"/>
            <w:vMerge w:val="continue"/>
            <w:vAlign w:val="center"/>
          </w:tcPr>
          <w:p>
            <w:pPr>
              <w:snapToGrid w:val="0"/>
              <w:jc w:val="center"/>
              <w:outlineLvl w:val="0"/>
              <w:rPr>
                <w:color w:val="000000"/>
                <w:sz w:val="24"/>
                <w:szCs w:val="24"/>
              </w:rPr>
            </w:pPr>
          </w:p>
        </w:tc>
        <w:tc>
          <w:tcPr>
            <w:tcW w:w="992" w:type="dxa"/>
            <w:vMerge w:val="continue"/>
            <w:vAlign w:val="center"/>
          </w:tcPr>
          <w:p>
            <w:pPr>
              <w:snapToGrid w:val="0"/>
              <w:jc w:val="center"/>
              <w:outlineLvl w:val="0"/>
              <w:rPr>
                <w:color w:val="000000"/>
                <w:sz w:val="24"/>
                <w:szCs w:val="24"/>
              </w:rPr>
            </w:pPr>
          </w:p>
        </w:tc>
        <w:tc>
          <w:tcPr>
            <w:tcW w:w="1276" w:type="dxa"/>
            <w:vAlign w:val="center"/>
          </w:tcPr>
          <w:p>
            <w:pPr>
              <w:snapToGrid w:val="0"/>
              <w:jc w:val="center"/>
              <w:outlineLvl w:val="0"/>
              <w:rPr>
                <w:color w:val="000000"/>
                <w:sz w:val="24"/>
                <w:szCs w:val="24"/>
              </w:rPr>
            </w:pPr>
            <w:r>
              <w:rPr>
                <w:color w:val="000000"/>
                <w:sz w:val="24"/>
                <w:szCs w:val="24"/>
              </w:rPr>
              <w:t>机械</w:t>
            </w:r>
            <w:r>
              <w:rPr>
                <w:rFonts w:hint="eastAsia"/>
                <w:color w:val="000000"/>
                <w:sz w:val="24"/>
                <w:szCs w:val="24"/>
              </w:rPr>
              <w:t>、汽车</w:t>
            </w:r>
            <w:r>
              <w:rPr>
                <w:color w:val="000000"/>
                <w:sz w:val="24"/>
                <w:szCs w:val="24"/>
              </w:rPr>
              <w:t>尾气</w:t>
            </w:r>
          </w:p>
        </w:tc>
        <w:tc>
          <w:tcPr>
            <w:tcW w:w="1368" w:type="dxa"/>
            <w:gridSpan w:val="2"/>
            <w:vAlign w:val="center"/>
          </w:tcPr>
          <w:p>
            <w:pPr>
              <w:snapToGrid w:val="0"/>
              <w:jc w:val="center"/>
              <w:outlineLvl w:val="0"/>
              <w:rPr>
                <w:color w:val="000000"/>
                <w:sz w:val="24"/>
                <w:szCs w:val="24"/>
              </w:rPr>
            </w:pPr>
            <w:r>
              <w:rPr>
                <w:color w:val="000000"/>
                <w:sz w:val="24"/>
                <w:szCs w:val="24"/>
              </w:rPr>
              <w:t>THC、CO、NOx</w:t>
            </w:r>
          </w:p>
        </w:tc>
        <w:tc>
          <w:tcPr>
            <w:tcW w:w="1965" w:type="dxa"/>
            <w:vAlign w:val="center"/>
          </w:tcPr>
          <w:p>
            <w:pPr>
              <w:snapToGrid w:val="0"/>
              <w:jc w:val="center"/>
              <w:outlineLvl w:val="0"/>
              <w:rPr>
                <w:color w:val="000000"/>
                <w:sz w:val="24"/>
                <w:szCs w:val="24"/>
              </w:rPr>
            </w:pPr>
            <w:r>
              <w:rPr>
                <w:color w:val="000000"/>
                <w:sz w:val="24"/>
                <w:szCs w:val="24"/>
              </w:rPr>
              <w:t>少量，无组织排放</w:t>
            </w:r>
          </w:p>
        </w:tc>
        <w:tc>
          <w:tcPr>
            <w:tcW w:w="2812" w:type="dxa"/>
            <w:vAlign w:val="center"/>
          </w:tcPr>
          <w:p>
            <w:pPr>
              <w:snapToGrid w:val="0"/>
              <w:jc w:val="center"/>
              <w:outlineLvl w:val="0"/>
              <w:rPr>
                <w:color w:val="000000"/>
                <w:sz w:val="24"/>
                <w:szCs w:val="24"/>
              </w:rPr>
            </w:pPr>
            <w:r>
              <w:rPr>
                <w:color w:val="000000"/>
                <w:sz w:val="24"/>
                <w:szCs w:val="24"/>
              </w:rPr>
              <w:t>少量，无组织排放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101" w:type="dxa"/>
            <w:vMerge w:val="restart"/>
            <w:vAlign w:val="center"/>
          </w:tcPr>
          <w:p>
            <w:pPr>
              <w:snapToGrid w:val="0"/>
              <w:jc w:val="center"/>
              <w:outlineLvl w:val="0"/>
              <w:rPr>
                <w:color w:val="000000"/>
                <w:sz w:val="24"/>
                <w:szCs w:val="24"/>
              </w:rPr>
            </w:pPr>
            <w:r>
              <w:rPr>
                <w:color w:val="000000"/>
                <w:sz w:val="24"/>
                <w:szCs w:val="24"/>
              </w:rPr>
              <w:t>水污染物</w:t>
            </w:r>
          </w:p>
        </w:tc>
        <w:tc>
          <w:tcPr>
            <w:tcW w:w="992" w:type="dxa"/>
            <w:vMerge w:val="restart"/>
            <w:vAlign w:val="center"/>
          </w:tcPr>
          <w:p>
            <w:pPr>
              <w:snapToGrid w:val="0"/>
              <w:jc w:val="center"/>
              <w:outlineLvl w:val="0"/>
              <w:rPr>
                <w:color w:val="000000"/>
                <w:sz w:val="24"/>
                <w:szCs w:val="24"/>
              </w:rPr>
            </w:pPr>
            <w:r>
              <w:rPr>
                <w:color w:val="000000"/>
                <w:sz w:val="24"/>
                <w:szCs w:val="24"/>
              </w:rPr>
              <w:t>施工期</w:t>
            </w:r>
          </w:p>
        </w:tc>
        <w:tc>
          <w:tcPr>
            <w:tcW w:w="1276" w:type="dxa"/>
            <w:vMerge w:val="restart"/>
            <w:vAlign w:val="center"/>
          </w:tcPr>
          <w:p>
            <w:pPr>
              <w:snapToGrid w:val="0"/>
              <w:jc w:val="center"/>
              <w:outlineLvl w:val="0"/>
              <w:rPr>
                <w:color w:val="000000"/>
                <w:sz w:val="24"/>
                <w:szCs w:val="24"/>
              </w:rPr>
            </w:pPr>
            <w:r>
              <w:rPr>
                <w:color w:val="000000"/>
                <w:sz w:val="24"/>
                <w:szCs w:val="24"/>
              </w:rPr>
              <w:t>施工废水</w:t>
            </w:r>
          </w:p>
        </w:tc>
        <w:tc>
          <w:tcPr>
            <w:tcW w:w="1368" w:type="dxa"/>
            <w:gridSpan w:val="2"/>
            <w:tcBorders>
              <w:bottom w:val="single" w:color="auto" w:sz="4" w:space="0"/>
            </w:tcBorders>
            <w:vAlign w:val="center"/>
          </w:tcPr>
          <w:p>
            <w:pPr>
              <w:snapToGrid w:val="0"/>
              <w:jc w:val="center"/>
              <w:outlineLvl w:val="0"/>
              <w:rPr>
                <w:color w:val="000000"/>
                <w:sz w:val="24"/>
                <w:szCs w:val="24"/>
              </w:rPr>
            </w:pPr>
            <w:r>
              <w:rPr>
                <w:color w:val="000000"/>
                <w:sz w:val="24"/>
                <w:szCs w:val="24"/>
              </w:rPr>
              <w:t>COD</w:t>
            </w:r>
          </w:p>
        </w:tc>
        <w:tc>
          <w:tcPr>
            <w:tcW w:w="1965" w:type="dxa"/>
            <w:tcBorders>
              <w:bottom w:val="single" w:color="auto" w:sz="4" w:space="0"/>
            </w:tcBorders>
            <w:vAlign w:val="center"/>
          </w:tcPr>
          <w:p>
            <w:pPr>
              <w:snapToGrid w:val="0"/>
              <w:jc w:val="center"/>
              <w:outlineLvl w:val="0"/>
              <w:rPr>
                <w:color w:val="000000"/>
                <w:sz w:val="24"/>
                <w:szCs w:val="24"/>
              </w:rPr>
            </w:pPr>
            <w:r>
              <w:rPr>
                <w:color w:val="000000"/>
                <w:sz w:val="24"/>
                <w:szCs w:val="24"/>
              </w:rPr>
              <w:t>少量；300mg/L</w:t>
            </w:r>
          </w:p>
        </w:tc>
        <w:tc>
          <w:tcPr>
            <w:tcW w:w="2812" w:type="dxa"/>
            <w:vMerge w:val="restart"/>
            <w:vAlign w:val="center"/>
          </w:tcPr>
          <w:p>
            <w:pPr>
              <w:snapToGrid w:val="0"/>
              <w:jc w:val="center"/>
              <w:outlineLvl w:val="0"/>
              <w:rPr>
                <w:color w:val="000000"/>
                <w:sz w:val="24"/>
                <w:szCs w:val="24"/>
              </w:rPr>
            </w:pPr>
            <w:r>
              <w:rPr>
                <w:color w:val="000000"/>
                <w:sz w:val="24"/>
                <w:szCs w:val="24"/>
              </w:rPr>
              <w:t>经隔油沉淀处理后回用，不外排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101" w:type="dxa"/>
            <w:vMerge w:val="continue"/>
            <w:vAlign w:val="center"/>
          </w:tcPr>
          <w:p>
            <w:pPr>
              <w:snapToGrid w:val="0"/>
              <w:jc w:val="center"/>
              <w:outlineLvl w:val="0"/>
              <w:rPr>
                <w:color w:val="000000"/>
                <w:sz w:val="24"/>
                <w:szCs w:val="24"/>
              </w:rPr>
            </w:pPr>
          </w:p>
        </w:tc>
        <w:tc>
          <w:tcPr>
            <w:tcW w:w="992" w:type="dxa"/>
            <w:vMerge w:val="continue"/>
            <w:vAlign w:val="center"/>
          </w:tcPr>
          <w:p>
            <w:pPr>
              <w:snapToGrid w:val="0"/>
              <w:jc w:val="center"/>
              <w:outlineLvl w:val="0"/>
              <w:rPr>
                <w:color w:val="000000"/>
                <w:sz w:val="24"/>
                <w:szCs w:val="24"/>
              </w:rPr>
            </w:pPr>
          </w:p>
        </w:tc>
        <w:tc>
          <w:tcPr>
            <w:tcW w:w="1276" w:type="dxa"/>
            <w:vMerge w:val="continue"/>
            <w:vAlign w:val="center"/>
          </w:tcPr>
          <w:p>
            <w:pPr>
              <w:snapToGrid w:val="0"/>
              <w:jc w:val="center"/>
              <w:outlineLvl w:val="0"/>
              <w:rPr>
                <w:color w:val="000000"/>
                <w:sz w:val="24"/>
                <w:szCs w:val="24"/>
              </w:rPr>
            </w:pPr>
          </w:p>
        </w:tc>
        <w:tc>
          <w:tcPr>
            <w:tcW w:w="1368" w:type="dxa"/>
            <w:gridSpan w:val="2"/>
            <w:vAlign w:val="center"/>
          </w:tcPr>
          <w:p>
            <w:pPr>
              <w:snapToGrid w:val="0"/>
              <w:jc w:val="center"/>
              <w:outlineLvl w:val="0"/>
              <w:rPr>
                <w:color w:val="000000"/>
                <w:sz w:val="24"/>
                <w:szCs w:val="24"/>
              </w:rPr>
            </w:pPr>
            <w:r>
              <w:rPr>
                <w:color w:val="000000"/>
                <w:sz w:val="24"/>
                <w:szCs w:val="24"/>
              </w:rPr>
              <w:t>SS</w:t>
            </w:r>
          </w:p>
        </w:tc>
        <w:tc>
          <w:tcPr>
            <w:tcW w:w="1965" w:type="dxa"/>
            <w:vAlign w:val="center"/>
          </w:tcPr>
          <w:p>
            <w:pPr>
              <w:snapToGrid w:val="0"/>
              <w:jc w:val="center"/>
              <w:outlineLvl w:val="0"/>
              <w:rPr>
                <w:color w:val="000000"/>
                <w:sz w:val="24"/>
                <w:szCs w:val="24"/>
              </w:rPr>
            </w:pPr>
            <w:r>
              <w:rPr>
                <w:color w:val="000000"/>
                <w:sz w:val="24"/>
                <w:szCs w:val="24"/>
              </w:rPr>
              <w:t>少量；</w:t>
            </w:r>
            <w:r>
              <w:rPr>
                <w:rFonts w:hint="eastAsia"/>
                <w:color w:val="000000"/>
                <w:sz w:val="24"/>
                <w:szCs w:val="24"/>
              </w:rPr>
              <w:t>35</w:t>
            </w:r>
            <w:r>
              <w:rPr>
                <w:color w:val="000000"/>
                <w:sz w:val="24"/>
                <w:szCs w:val="24"/>
              </w:rPr>
              <w:t>0mg/L</w:t>
            </w:r>
          </w:p>
        </w:tc>
        <w:tc>
          <w:tcPr>
            <w:tcW w:w="2812" w:type="dxa"/>
            <w:vMerge w:val="continue"/>
            <w:vAlign w:val="center"/>
          </w:tcPr>
          <w:p>
            <w:pPr>
              <w:snapToGrid w:val="0"/>
              <w:jc w:val="center"/>
              <w:outlineLvl w:val="0"/>
              <w:rPr>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101" w:type="dxa"/>
            <w:vMerge w:val="continue"/>
            <w:vAlign w:val="center"/>
          </w:tcPr>
          <w:p>
            <w:pPr>
              <w:snapToGrid w:val="0"/>
              <w:jc w:val="center"/>
              <w:outlineLvl w:val="0"/>
              <w:rPr>
                <w:color w:val="000000"/>
                <w:sz w:val="24"/>
                <w:szCs w:val="24"/>
              </w:rPr>
            </w:pPr>
          </w:p>
        </w:tc>
        <w:tc>
          <w:tcPr>
            <w:tcW w:w="992" w:type="dxa"/>
            <w:vMerge w:val="continue"/>
            <w:tcBorders>
              <w:bottom w:val="single" w:color="auto" w:sz="4" w:space="0"/>
            </w:tcBorders>
            <w:vAlign w:val="center"/>
          </w:tcPr>
          <w:p>
            <w:pPr>
              <w:snapToGrid w:val="0"/>
              <w:jc w:val="center"/>
              <w:outlineLvl w:val="0"/>
              <w:rPr>
                <w:color w:val="000000"/>
                <w:sz w:val="24"/>
                <w:szCs w:val="24"/>
              </w:rPr>
            </w:pPr>
          </w:p>
        </w:tc>
        <w:tc>
          <w:tcPr>
            <w:tcW w:w="1276" w:type="dxa"/>
            <w:vMerge w:val="continue"/>
            <w:tcBorders>
              <w:bottom w:val="single" w:color="auto" w:sz="4" w:space="0"/>
            </w:tcBorders>
            <w:vAlign w:val="center"/>
          </w:tcPr>
          <w:p>
            <w:pPr>
              <w:snapToGrid w:val="0"/>
              <w:jc w:val="center"/>
              <w:outlineLvl w:val="0"/>
              <w:rPr>
                <w:color w:val="000000"/>
                <w:sz w:val="24"/>
                <w:szCs w:val="24"/>
              </w:rPr>
            </w:pPr>
          </w:p>
        </w:tc>
        <w:tc>
          <w:tcPr>
            <w:tcW w:w="1368" w:type="dxa"/>
            <w:gridSpan w:val="2"/>
            <w:tcBorders>
              <w:bottom w:val="single" w:color="auto" w:sz="4" w:space="0"/>
            </w:tcBorders>
            <w:vAlign w:val="center"/>
          </w:tcPr>
          <w:p>
            <w:pPr>
              <w:snapToGrid w:val="0"/>
              <w:jc w:val="center"/>
              <w:outlineLvl w:val="0"/>
              <w:rPr>
                <w:color w:val="000000"/>
                <w:sz w:val="24"/>
                <w:szCs w:val="24"/>
              </w:rPr>
            </w:pPr>
            <w:r>
              <w:rPr>
                <w:color w:val="000000"/>
                <w:sz w:val="24"/>
                <w:szCs w:val="24"/>
              </w:rPr>
              <w:t>石油类</w:t>
            </w:r>
          </w:p>
        </w:tc>
        <w:tc>
          <w:tcPr>
            <w:tcW w:w="1965" w:type="dxa"/>
            <w:tcBorders>
              <w:bottom w:val="single" w:color="auto" w:sz="4" w:space="0"/>
            </w:tcBorders>
            <w:vAlign w:val="center"/>
          </w:tcPr>
          <w:p>
            <w:pPr>
              <w:snapToGrid w:val="0"/>
              <w:jc w:val="center"/>
              <w:outlineLvl w:val="0"/>
              <w:rPr>
                <w:color w:val="000000"/>
                <w:sz w:val="24"/>
                <w:szCs w:val="24"/>
              </w:rPr>
            </w:pPr>
            <w:r>
              <w:rPr>
                <w:color w:val="000000"/>
                <w:sz w:val="24"/>
                <w:szCs w:val="24"/>
              </w:rPr>
              <w:t>少量；</w:t>
            </w:r>
            <w:r>
              <w:rPr>
                <w:rFonts w:hint="eastAsia"/>
                <w:color w:val="000000"/>
                <w:sz w:val="24"/>
                <w:szCs w:val="24"/>
              </w:rPr>
              <w:t>1</w:t>
            </w:r>
            <w:r>
              <w:rPr>
                <w:color w:val="000000"/>
                <w:sz w:val="24"/>
                <w:szCs w:val="24"/>
              </w:rPr>
              <w:t>0mg/L</w:t>
            </w:r>
          </w:p>
        </w:tc>
        <w:tc>
          <w:tcPr>
            <w:tcW w:w="2812" w:type="dxa"/>
            <w:vMerge w:val="continue"/>
            <w:tcBorders>
              <w:bottom w:val="single" w:color="auto" w:sz="4" w:space="0"/>
            </w:tcBorders>
            <w:vAlign w:val="center"/>
          </w:tcPr>
          <w:p>
            <w:pPr>
              <w:snapToGrid w:val="0"/>
              <w:jc w:val="center"/>
              <w:outlineLvl w:val="0"/>
              <w:rPr>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101" w:type="dxa"/>
            <w:vMerge w:val="restart"/>
            <w:vAlign w:val="center"/>
          </w:tcPr>
          <w:p>
            <w:pPr>
              <w:snapToGrid w:val="0"/>
              <w:jc w:val="center"/>
              <w:outlineLvl w:val="0"/>
              <w:rPr>
                <w:color w:val="000000"/>
                <w:sz w:val="24"/>
                <w:szCs w:val="24"/>
              </w:rPr>
            </w:pPr>
            <w:r>
              <w:rPr>
                <w:color w:val="000000"/>
                <w:sz w:val="24"/>
                <w:szCs w:val="24"/>
              </w:rPr>
              <w:t>固体废物</w:t>
            </w:r>
          </w:p>
        </w:tc>
        <w:tc>
          <w:tcPr>
            <w:tcW w:w="992" w:type="dxa"/>
            <w:vMerge w:val="restart"/>
            <w:vAlign w:val="center"/>
          </w:tcPr>
          <w:p>
            <w:pPr>
              <w:snapToGrid w:val="0"/>
              <w:jc w:val="center"/>
              <w:outlineLvl w:val="0"/>
              <w:rPr>
                <w:color w:val="000000"/>
                <w:sz w:val="24"/>
                <w:szCs w:val="24"/>
              </w:rPr>
            </w:pPr>
            <w:r>
              <w:rPr>
                <w:color w:val="000000"/>
                <w:sz w:val="24"/>
                <w:szCs w:val="24"/>
              </w:rPr>
              <w:t>施工期</w:t>
            </w:r>
          </w:p>
        </w:tc>
        <w:tc>
          <w:tcPr>
            <w:tcW w:w="2644" w:type="dxa"/>
            <w:gridSpan w:val="3"/>
            <w:vAlign w:val="center"/>
          </w:tcPr>
          <w:p>
            <w:pPr>
              <w:snapToGrid w:val="0"/>
              <w:jc w:val="center"/>
              <w:outlineLvl w:val="0"/>
              <w:rPr>
                <w:color w:val="000000"/>
                <w:sz w:val="24"/>
                <w:szCs w:val="24"/>
              </w:rPr>
            </w:pPr>
            <w:r>
              <w:rPr>
                <w:rFonts w:hint="eastAsia"/>
                <w:color w:val="000000"/>
                <w:sz w:val="24"/>
                <w:szCs w:val="24"/>
              </w:rPr>
              <w:t>弃渣</w:t>
            </w:r>
          </w:p>
        </w:tc>
        <w:tc>
          <w:tcPr>
            <w:tcW w:w="1965" w:type="dxa"/>
            <w:tcBorders>
              <w:top w:val="single" w:color="auto" w:sz="4" w:space="0"/>
              <w:bottom w:val="single" w:color="auto" w:sz="4" w:space="0"/>
            </w:tcBorders>
            <w:vAlign w:val="center"/>
          </w:tcPr>
          <w:p>
            <w:pPr>
              <w:snapToGrid w:val="0"/>
              <w:jc w:val="center"/>
              <w:outlineLvl w:val="0"/>
              <w:rPr>
                <w:color w:val="000000"/>
                <w:sz w:val="24"/>
                <w:szCs w:val="24"/>
              </w:rPr>
            </w:pPr>
            <w:r>
              <w:rPr>
                <w:rFonts w:hint="eastAsia"/>
                <w:color w:val="000000"/>
                <w:sz w:val="24"/>
                <w:szCs w:val="24"/>
              </w:rPr>
              <w:t>6645</w:t>
            </w:r>
            <w:r>
              <w:rPr>
                <w:color w:val="000000"/>
                <w:sz w:val="24"/>
                <w:szCs w:val="24"/>
              </w:rPr>
              <w:t>m</w:t>
            </w:r>
            <w:r>
              <w:rPr>
                <w:color w:val="000000"/>
                <w:sz w:val="24"/>
                <w:szCs w:val="24"/>
                <w:vertAlign w:val="superscript"/>
              </w:rPr>
              <w:t>3</w:t>
            </w:r>
          </w:p>
        </w:tc>
        <w:tc>
          <w:tcPr>
            <w:tcW w:w="2812" w:type="dxa"/>
            <w:tcBorders>
              <w:top w:val="single" w:color="auto" w:sz="4" w:space="0"/>
              <w:bottom w:val="single" w:color="auto" w:sz="4" w:space="0"/>
            </w:tcBorders>
            <w:vAlign w:val="center"/>
          </w:tcPr>
          <w:p>
            <w:pPr>
              <w:snapToGrid w:val="0"/>
              <w:jc w:val="center"/>
              <w:outlineLvl w:val="0"/>
              <w:rPr>
                <w:color w:val="000000"/>
                <w:sz w:val="24"/>
                <w:szCs w:val="24"/>
              </w:rPr>
            </w:pPr>
            <w:r>
              <w:rPr>
                <w:rFonts w:hint="eastAsia"/>
                <w:color w:val="000000"/>
                <w:sz w:val="24"/>
                <w:szCs w:val="24"/>
              </w:rPr>
              <w:t>由环卫工人定期收集清运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101" w:type="dxa"/>
            <w:vMerge w:val="continue"/>
            <w:vAlign w:val="center"/>
          </w:tcPr>
          <w:p>
            <w:pPr>
              <w:snapToGrid w:val="0"/>
              <w:jc w:val="center"/>
              <w:outlineLvl w:val="0"/>
              <w:rPr>
                <w:color w:val="000000"/>
                <w:sz w:val="24"/>
                <w:szCs w:val="24"/>
              </w:rPr>
            </w:pPr>
          </w:p>
        </w:tc>
        <w:tc>
          <w:tcPr>
            <w:tcW w:w="992" w:type="dxa"/>
            <w:vMerge w:val="continue"/>
            <w:vAlign w:val="center"/>
          </w:tcPr>
          <w:p>
            <w:pPr>
              <w:snapToGrid w:val="0"/>
              <w:jc w:val="center"/>
              <w:outlineLvl w:val="0"/>
              <w:rPr>
                <w:color w:val="000000"/>
                <w:sz w:val="24"/>
                <w:szCs w:val="24"/>
              </w:rPr>
            </w:pPr>
          </w:p>
        </w:tc>
        <w:tc>
          <w:tcPr>
            <w:tcW w:w="2644" w:type="dxa"/>
            <w:gridSpan w:val="3"/>
            <w:vAlign w:val="center"/>
          </w:tcPr>
          <w:p>
            <w:pPr>
              <w:snapToGrid w:val="0"/>
              <w:jc w:val="center"/>
              <w:outlineLvl w:val="0"/>
              <w:rPr>
                <w:color w:val="000000"/>
                <w:sz w:val="24"/>
                <w:szCs w:val="24"/>
              </w:rPr>
            </w:pPr>
            <w:r>
              <w:rPr>
                <w:rFonts w:hint="eastAsia"/>
                <w:color w:val="000000"/>
                <w:sz w:val="24"/>
                <w:szCs w:val="24"/>
              </w:rPr>
              <w:t>建筑垃圾</w:t>
            </w:r>
          </w:p>
        </w:tc>
        <w:tc>
          <w:tcPr>
            <w:tcW w:w="1965" w:type="dxa"/>
            <w:tcBorders>
              <w:top w:val="single" w:color="auto" w:sz="4" w:space="0"/>
            </w:tcBorders>
            <w:vAlign w:val="center"/>
          </w:tcPr>
          <w:p>
            <w:pPr>
              <w:snapToGrid w:val="0"/>
              <w:jc w:val="center"/>
              <w:outlineLvl w:val="0"/>
              <w:rPr>
                <w:color w:val="000000"/>
                <w:sz w:val="24"/>
                <w:szCs w:val="24"/>
              </w:rPr>
            </w:pPr>
            <w:r>
              <w:rPr>
                <w:rFonts w:hint="eastAsia"/>
                <w:color w:val="000000"/>
                <w:sz w:val="24"/>
                <w:szCs w:val="24"/>
              </w:rPr>
              <w:t>1.5t</w:t>
            </w:r>
          </w:p>
        </w:tc>
        <w:tc>
          <w:tcPr>
            <w:tcW w:w="2812" w:type="dxa"/>
            <w:tcBorders>
              <w:top w:val="single" w:color="auto" w:sz="4" w:space="0"/>
            </w:tcBorders>
            <w:vAlign w:val="center"/>
          </w:tcPr>
          <w:p>
            <w:pPr>
              <w:snapToGrid w:val="0"/>
              <w:jc w:val="center"/>
              <w:outlineLvl w:val="0"/>
              <w:rPr>
                <w:color w:val="000000"/>
                <w:sz w:val="24"/>
                <w:szCs w:val="24"/>
              </w:rPr>
            </w:pPr>
            <w:r>
              <w:rPr>
                <w:rFonts w:hint="eastAsia"/>
                <w:color w:val="000000"/>
                <w:sz w:val="24"/>
                <w:szCs w:val="24"/>
              </w:rPr>
              <w:t>尽可能利用，不能利用交渣土办处置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1101" w:type="dxa"/>
            <w:vAlign w:val="center"/>
          </w:tcPr>
          <w:p>
            <w:pPr>
              <w:snapToGrid w:val="0"/>
              <w:jc w:val="center"/>
              <w:outlineLvl w:val="0"/>
              <w:rPr>
                <w:color w:val="000000"/>
                <w:sz w:val="24"/>
                <w:szCs w:val="24"/>
              </w:rPr>
            </w:pPr>
            <w:r>
              <w:rPr>
                <w:color w:val="000000"/>
                <w:sz w:val="24"/>
                <w:szCs w:val="24"/>
              </w:rPr>
              <w:t>噪声</w:t>
            </w:r>
          </w:p>
        </w:tc>
        <w:tc>
          <w:tcPr>
            <w:tcW w:w="992" w:type="dxa"/>
            <w:vAlign w:val="center"/>
          </w:tcPr>
          <w:p>
            <w:pPr>
              <w:snapToGrid w:val="0"/>
              <w:jc w:val="center"/>
              <w:outlineLvl w:val="0"/>
              <w:rPr>
                <w:color w:val="000000"/>
                <w:sz w:val="24"/>
                <w:szCs w:val="24"/>
              </w:rPr>
            </w:pPr>
            <w:r>
              <w:rPr>
                <w:color w:val="000000"/>
                <w:sz w:val="24"/>
                <w:szCs w:val="24"/>
              </w:rPr>
              <w:t>施工期</w:t>
            </w:r>
          </w:p>
        </w:tc>
        <w:tc>
          <w:tcPr>
            <w:tcW w:w="1542" w:type="dxa"/>
            <w:gridSpan w:val="2"/>
            <w:vAlign w:val="center"/>
          </w:tcPr>
          <w:p>
            <w:pPr>
              <w:snapToGrid w:val="0"/>
              <w:jc w:val="center"/>
              <w:outlineLvl w:val="0"/>
              <w:rPr>
                <w:color w:val="000000"/>
                <w:sz w:val="24"/>
                <w:szCs w:val="24"/>
              </w:rPr>
            </w:pPr>
            <w:r>
              <w:rPr>
                <w:color w:val="000000"/>
                <w:sz w:val="24"/>
                <w:szCs w:val="24"/>
              </w:rPr>
              <w:t>施工机械</w:t>
            </w:r>
          </w:p>
        </w:tc>
        <w:tc>
          <w:tcPr>
            <w:tcW w:w="1102" w:type="dxa"/>
            <w:vAlign w:val="center"/>
          </w:tcPr>
          <w:p>
            <w:pPr>
              <w:snapToGrid w:val="0"/>
              <w:jc w:val="center"/>
              <w:outlineLvl w:val="0"/>
              <w:rPr>
                <w:color w:val="000000"/>
                <w:sz w:val="24"/>
                <w:szCs w:val="24"/>
              </w:rPr>
            </w:pPr>
            <w:r>
              <w:rPr>
                <w:color w:val="000000"/>
                <w:sz w:val="24"/>
                <w:szCs w:val="24"/>
              </w:rPr>
              <w:t>Leq</w:t>
            </w:r>
          </w:p>
        </w:tc>
        <w:tc>
          <w:tcPr>
            <w:tcW w:w="1965" w:type="dxa"/>
            <w:vAlign w:val="center"/>
          </w:tcPr>
          <w:p>
            <w:pPr>
              <w:snapToGrid w:val="0"/>
              <w:jc w:val="center"/>
              <w:outlineLvl w:val="0"/>
              <w:rPr>
                <w:color w:val="000000"/>
                <w:sz w:val="24"/>
                <w:szCs w:val="24"/>
              </w:rPr>
            </w:pPr>
            <w:r>
              <w:rPr>
                <w:rFonts w:hint="eastAsia"/>
                <w:color w:val="000000"/>
                <w:sz w:val="24"/>
                <w:szCs w:val="24"/>
              </w:rPr>
              <w:t>80</w:t>
            </w:r>
            <w:r>
              <w:rPr>
                <w:color w:val="000000"/>
                <w:sz w:val="24"/>
                <w:szCs w:val="24"/>
              </w:rPr>
              <w:t>~9</w:t>
            </w:r>
            <w:r>
              <w:rPr>
                <w:rFonts w:hint="eastAsia"/>
                <w:color w:val="000000"/>
                <w:sz w:val="24"/>
                <w:szCs w:val="24"/>
              </w:rPr>
              <w:t>2</w:t>
            </w:r>
            <w:r>
              <w:rPr>
                <w:color w:val="000000"/>
                <w:sz w:val="24"/>
                <w:szCs w:val="24"/>
              </w:rPr>
              <w:t>dB(A)</w:t>
            </w:r>
          </w:p>
        </w:tc>
        <w:tc>
          <w:tcPr>
            <w:tcW w:w="2812" w:type="dxa"/>
            <w:vAlign w:val="center"/>
          </w:tcPr>
          <w:p>
            <w:pPr>
              <w:snapToGrid w:val="0"/>
              <w:jc w:val="center"/>
              <w:outlineLvl w:val="0"/>
              <w:rPr>
                <w:color w:val="000000"/>
                <w:sz w:val="24"/>
                <w:szCs w:val="24"/>
              </w:rPr>
            </w:pPr>
            <w:r>
              <w:rPr>
                <w:rFonts w:hint="eastAsia"/>
                <w:color w:val="000000"/>
                <w:sz w:val="24"/>
                <w:szCs w:val="24"/>
              </w:rPr>
              <w:t>设置围挡，达标排放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9514" w:type="dxa"/>
            <w:gridSpan w:val="7"/>
            <w:vAlign w:val="center"/>
          </w:tcPr>
          <w:p>
            <w:pPr>
              <w:snapToGrid w:val="0"/>
              <w:spacing w:line="360" w:lineRule="auto"/>
              <w:outlineLvl w:val="0"/>
              <w:rPr>
                <w:rFonts w:ascii="宋体" w:hAnsi="宋体"/>
                <w:b/>
                <w:bCs/>
                <w:color w:val="000000"/>
                <w:sz w:val="24"/>
                <w:szCs w:val="24"/>
              </w:rPr>
            </w:pPr>
            <w:r>
              <w:rPr>
                <w:rFonts w:hint="eastAsia" w:ascii="宋体" w:hAnsi="宋体"/>
                <w:b/>
                <w:bCs/>
                <w:color w:val="000000"/>
                <w:sz w:val="24"/>
                <w:szCs w:val="24"/>
              </w:rPr>
              <w:t>主要生态影响</w:t>
            </w:r>
          </w:p>
          <w:p>
            <w:pPr>
              <w:snapToGrid w:val="0"/>
              <w:spacing w:line="360" w:lineRule="auto"/>
              <w:ind w:firstLine="462" w:firstLineChars="200"/>
              <w:outlineLvl w:val="0"/>
              <w:rPr>
                <w:rFonts w:ascii="宋体" w:cs="宋体"/>
                <w:color w:val="000000"/>
                <w:kern w:val="0"/>
                <w:sz w:val="24"/>
                <w:szCs w:val="24"/>
              </w:rPr>
            </w:pPr>
            <w:r>
              <w:rPr>
                <w:rFonts w:hint="eastAsia" w:ascii="宋体" w:cs="宋体"/>
                <w:color w:val="000000"/>
                <w:kern w:val="0"/>
                <w:sz w:val="24"/>
                <w:szCs w:val="24"/>
              </w:rPr>
              <w:t xml:space="preserve"> 施工期生态环境的影响主要表现在管沟开挖过程中、管道施工过程中，临时占用土地、破坏土壤结构和土壤环境、破坏地表植被等；在管道施工过程中，开挖管沟区将底土翻出，使上体结构有所改变；挖掘区部分植被、树根等将受到一定破坏。但项目施工周期较短，土石方量相对较少，区域水土流失现象不明显，不会因水土流失对评价区生态环境产生较大影响，只要安排好工程进度，搞好施工管理，妥善解决好开挖土方问题，不会对生态环境带来大的影响。</w:t>
            </w:r>
          </w:p>
          <w:p>
            <w:pPr>
              <w:snapToGrid w:val="0"/>
              <w:outlineLvl w:val="0"/>
              <w:rPr>
                <w:rFonts w:ascii="宋体" w:hAnsi="宋体"/>
                <w:color w:val="FF0000"/>
                <w:sz w:val="24"/>
                <w:szCs w:val="24"/>
              </w:rPr>
            </w:pPr>
            <w:r>
              <w:rPr>
                <w:rFonts w:hint="eastAsia" w:ascii="宋体" w:hAnsi="宋体"/>
                <w:color w:val="FF0000"/>
                <w:sz w:val="24"/>
                <w:szCs w:val="24"/>
              </w:rPr>
              <w:br w:type="textWrapping"/>
            </w: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p>
            <w:pPr>
              <w:snapToGrid w:val="0"/>
              <w:outlineLvl w:val="0"/>
              <w:rPr>
                <w:rFonts w:ascii="宋体" w:hAnsi="宋体"/>
                <w:color w:val="FF0000"/>
                <w:sz w:val="24"/>
                <w:szCs w:val="24"/>
              </w:rPr>
            </w:pPr>
          </w:p>
        </w:tc>
      </w:tr>
    </w:tbl>
    <w:p>
      <w:pPr>
        <w:snapToGrid w:val="0"/>
        <w:outlineLvl w:val="0"/>
        <w:rPr>
          <w:rFonts w:eastAsia="黑体"/>
          <w:color w:val="000000"/>
          <w:sz w:val="32"/>
        </w:rPr>
      </w:pPr>
      <w:r>
        <w:rPr>
          <w:rFonts w:ascii="宋体" w:hAnsi="宋体"/>
          <w:color w:val="FF0000"/>
          <w:sz w:val="24"/>
          <w:szCs w:val="24"/>
        </w:rPr>
        <w:br w:type="page"/>
      </w:r>
      <w:bookmarkStart w:id="9" w:name="_Toc460481180"/>
      <w:r>
        <w:rPr>
          <w:rFonts w:hint="eastAsia" w:ascii="黑体" w:hAnsi="黑体" w:eastAsia="黑体"/>
          <w:color w:val="000000"/>
          <w:sz w:val="32"/>
          <w:szCs w:val="32"/>
        </w:rPr>
        <w:t>七、环</w:t>
      </w:r>
      <w:r>
        <w:rPr>
          <w:rFonts w:ascii="黑体" w:hAnsi="黑体" w:eastAsia="黑体"/>
          <w:color w:val="000000"/>
          <w:sz w:val="32"/>
          <w:szCs w:val="32"/>
        </w:rPr>
        <w:t>境影响分析</w:t>
      </w:r>
      <w:bookmarkEnd w:id="9"/>
    </w:p>
    <w:tbl>
      <w:tblPr>
        <w:tblStyle w:val="19"/>
        <w:tblW w:w="9322"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322"/>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13176" w:hRule="atLeast"/>
          <w:jc w:val="center"/>
        </w:trPr>
        <w:tc>
          <w:tcPr>
            <w:tcW w:w="9322" w:type="dxa"/>
          </w:tcPr>
          <w:p>
            <w:pPr>
              <w:snapToGrid w:val="0"/>
              <w:spacing w:line="520" w:lineRule="exact"/>
              <w:ind w:firstLine="542" w:firstLineChars="200"/>
              <w:contextualSpacing/>
              <w:rPr>
                <w:b/>
                <w:color w:val="000000"/>
                <w:sz w:val="28"/>
                <w:szCs w:val="28"/>
              </w:rPr>
            </w:pPr>
            <w:r>
              <w:rPr>
                <w:rFonts w:hint="eastAsia"/>
                <w:b/>
                <w:color w:val="000000"/>
                <w:sz w:val="28"/>
                <w:szCs w:val="28"/>
              </w:rPr>
              <w:t>1、</w:t>
            </w:r>
            <w:r>
              <w:rPr>
                <w:b/>
                <w:color w:val="000000"/>
                <w:sz w:val="28"/>
                <w:szCs w:val="28"/>
              </w:rPr>
              <w:t>施工期环境影响分析：</w:t>
            </w:r>
          </w:p>
          <w:p>
            <w:pPr>
              <w:snapToGrid w:val="0"/>
              <w:spacing w:line="520" w:lineRule="exact"/>
              <w:ind w:firstLine="462" w:firstLineChars="200"/>
              <w:contextualSpacing/>
              <w:rPr>
                <w:bCs/>
                <w:color w:val="000000"/>
                <w:sz w:val="24"/>
                <w:szCs w:val="24"/>
              </w:rPr>
            </w:pPr>
            <w:r>
              <w:rPr>
                <w:bCs/>
                <w:color w:val="000000"/>
                <w:sz w:val="24"/>
                <w:szCs w:val="24"/>
              </w:rPr>
              <w:t>（1）施工期水环境影响分析</w:t>
            </w:r>
          </w:p>
          <w:p>
            <w:pPr>
              <w:snapToGrid w:val="0"/>
              <w:spacing w:line="520" w:lineRule="exact"/>
              <w:ind w:firstLine="462" w:firstLineChars="200"/>
              <w:contextualSpacing/>
              <w:rPr>
                <w:color w:val="000000"/>
                <w:kern w:val="0"/>
                <w:sz w:val="24"/>
                <w:szCs w:val="24"/>
              </w:rPr>
            </w:pPr>
            <w:r>
              <w:rPr>
                <w:color w:val="000000"/>
                <w:kern w:val="0"/>
                <w:sz w:val="24"/>
                <w:szCs w:val="24"/>
              </w:rPr>
              <w:t>项目不设施工营地，项目施工人员租用周围民房作为施工营地，施工人员生活污水依托租用居民现有化粪池进行处理，经化粪池处理后用作农肥。</w:t>
            </w:r>
          </w:p>
          <w:p>
            <w:pPr>
              <w:snapToGrid w:val="0"/>
              <w:spacing w:line="520" w:lineRule="exact"/>
              <w:ind w:firstLine="462" w:firstLineChars="200"/>
              <w:contextualSpacing/>
              <w:rPr>
                <w:bCs/>
                <w:color w:val="000000"/>
                <w:sz w:val="24"/>
                <w:szCs w:val="24"/>
              </w:rPr>
            </w:pPr>
            <w:r>
              <w:rPr>
                <w:color w:val="000000"/>
                <w:kern w:val="0"/>
                <w:sz w:val="24"/>
                <w:szCs w:val="24"/>
              </w:rPr>
              <w:t>工程施工废水包括施工机械洗涤用水、施工现场清洗等废水，这部分废水主要污染物为</w:t>
            </w:r>
            <w:r>
              <w:rPr>
                <w:rFonts w:eastAsia="TimesNewRomanPSMT"/>
                <w:color w:val="000000"/>
                <w:kern w:val="0"/>
                <w:sz w:val="24"/>
                <w:szCs w:val="24"/>
              </w:rPr>
              <w:t>COD</w:t>
            </w:r>
            <w:r>
              <w:rPr>
                <w:color w:val="000000"/>
                <w:kern w:val="0"/>
                <w:sz w:val="24"/>
                <w:szCs w:val="24"/>
              </w:rPr>
              <w:t>、</w:t>
            </w:r>
            <w:r>
              <w:rPr>
                <w:rFonts w:eastAsia="TimesNewRomanPSMT"/>
                <w:color w:val="000000"/>
                <w:kern w:val="0"/>
                <w:sz w:val="24"/>
                <w:szCs w:val="24"/>
              </w:rPr>
              <w:t xml:space="preserve">SS </w:t>
            </w:r>
            <w:r>
              <w:rPr>
                <w:color w:val="000000"/>
                <w:kern w:val="0"/>
                <w:sz w:val="24"/>
                <w:szCs w:val="24"/>
              </w:rPr>
              <w:t>和石油类；该类废水若不经直接排入周边水体，对地表水质将产生较大影响。</w:t>
            </w:r>
          </w:p>
          <w:p>
            <w:pPr>
              <w:snapToGrid w:val="0"/>
              <w:spacing w:line="520" w:lineRule="exact"/>
              <w:ind w:firstLine="462" w:firstLineChars="200"/>
              <w:contextualSpacing/>
              <w:rPr>
                <w:color w:val="000000"/>
                <w:kern w:val="0"/>
                <w:sz w:val="24"/>
                <w:szCs w:val="24"/>
              </w:rPr>
            </w:pPr>
            <w:r>
              <w:rPr>
                <w:color w:val="000000"/>
                <w:kern w:val="0"/>
                <w:sz w:val="24"/>
                <w:szCs w:val="24"/>
              </w:rPr>
              <w:t>为防止施工废水直接排放，对地表水环境造成较大影响，拟采取以下措施进行防治：</w:t>
            </w:r>
          </w:p>
          <w:p>
            <w:pPr>
              <w:snapToGrid w:val="0"/>
              <w:spacing w:line="520" w:lineRule="exact"/>
              <w:ind w:firstLine="462" w:firstLineChars="200"/>
              <w:contextualSpacing/>
              <w:rPr>
                <w:color w:val="000000"/>
                <w:kern w:val="0"/>
                <w:sz w:val="24"/>
                <w:szCs w:val="24"/>
              </w:rPr>
            </w:pPr>
            <w:r>
              <w:rPr>
                <w:color w:val="000000"/>
                <w:kern w:val="0"/>
                <w:sz w:val="24"/>
                <w:szCs w:val="24"/>
              </w:rPr>
              <w:t>1</w:t>
            </w:r>
            <w:r>
              <w:rPr>
                <w:rFonts w:hAnsi="宋体"/>
                <w:color w:val="000000"/>
                <w:kern w:val="0"/>
                <w:sz w:val="24"/>
                <w:szCs w:val="24"/>
              </w:rPr>
              <w:t>）</w:t>
            </w:r>
            <w:r>
              <w:rPr>
                <w:color w:val="000000"/>
                <w:kern w:val="0"/>
                <w:sz w:val="24"/>
                <w:szCs w:val="24"/>
              </w:rPr>
              <w:t>设置施工废水隔油沉淀设施，在冲洗车辆场地设简易沉淀池，对冲洗废水进行沉淀处理，处理后的废水回用于项目洒水抑尘，禁止外排入周边地表水系；</w:t>
            </w:r>
          </w:p>
          <w:p>
            <w:pPr>
              <w:snapToGrid w:val="0"/>
              <w:spacing w:line="520" w:lineRule="exact"/>
              <w:ind w:firstLine="462" w:firstLineChars="200"/>
              <w:contextualSpacing/>
              <w:rPr>
                <w:color w:val="000000"/>
                <w:kern w:val="0"/>
                <w:sz w:val="24"/>
                <w:szCs w:val="24"/>
              </w:rPr>
            </w:pPr>
            <w:r>
              <w:rPr>
                <w:color w:val="000000"/>
                <w:kern w:val="0"/>
                <w:sz w:val="24"/>
                <w:szCs w:val="24"/>
              </w:rPr>
              <w:t>2）施工完成后不得闲置土地，应尽快建设水土保持设施或进行环境绿化。开挖的土石方应及时处理，不得随意堆放以防止下雨时裸露的泥土随雨水流入管网及周围的水塘，造成水体SS 增加，泥沙淤积；</w:t>
            </w:r>
          </w:p>
          <w:p>
            <w:pPr>
              <w:snapToGrid w:val="0"/>
              <w:spacing w:line="520" w:lineRule="exact"/>
              <w:ind w:firstLine="462" w:firstLineChars="200"/>
              <w:contextualSpacing/>
              <w:rPr>
                <w:color w:val="000000"/>
                <w:kern w:val="0"/>
                <w:sz w:val="24"/>
                <w:szCs w:val="24"/>
              </w:rPr>
            </w:pPr>
            <w:r>
              <w:rPr>
                <w:color w:val="000000"/>
                <w:kern w:val="0"/>
                <w:sz w:val="24"/>
                <w:szCs w:val="24"/>
              </w:rPr>
              <w:t>3）运输、施工机械临时检修所产生的油污应集中处理，擦有油污的固体废物不得随意乱扔，应集中收集后妥善处理，以免污染水体；加强施工机械设备的维修保养，避免施工机械在施工过程中燃料可能会产生跑、冒、滴、漏现象的发生。</w:t>
            </w:r>
          </w:p>
          <w:p>
            <w:pPr>
              <w:snapToGrid w:val="0"/>
              <w:spacing w:line="520" w:lineRule="exact"/>
              <w:ind w:firstLine="462" w:firstLineChars="200"/>
              <w:contextualSpacing/>
              <w:rPr>
                <w:color w:val="000000"/>
                <w:kern w:val="0"/>
                <w:sz w:val="24"/>
                <w:szCs w:val="24"/>
              </w:rPr>
            </w:pPr>
            <w:r>
              <w:rPr>
                <w:color w:val="000000"/>
                <w:kern w:val="0"/>
                <w:sz w:val="24"/>
                <w:szCs w:val="24"/>
              </w:rPr>
              <w:t>4）运输、施工机械临时检修所产生的油污应集中处理，擦有油污的固体废物不得随意乱扔，应集中收集后妥善处理，以免污染水体；加强施工机械设备的维修保养，避免施工机械在施工过程中燃料用油跑、冒、滴、漏现象的发生。</w:t>
            </w:r>
          </w:p>
          <w:p>
            <w:pPr>
              <w:snapToGrid w:val="0"/>
              <w:spacing w:line="520" w:lineRule="exact"/>
              <w:ind w:firstLine="462" w:firstLineChars="200"/>
              <w:contextualSpacing/>
              <w:rPr>
                <w:color w:val="000000"/>
                <w:kern w:val="0"/>
                <w:sz w:val="24"/>
                <w:szCs w:val="24"/>
              </w:rPr>
            </w:pPr>
            <w:r>
              <w:rPr>
                <w:color w:val="000000"/>
                <w:kern w:val="0"/>
                <w:sz w:val="24"/>
                <w:szCs w:val="24"/>
              </w:rPr>
              <w:t>5）为减少养护用水对水环境的影响，在路面养护洒水过程中，采取少量多次，确保路面湿润，而水不流到周围水体中。</w:t>
            </w:r>
          </w:p>
          <w:p>
            <w:pPr>
              <w:snapToGrid w:val="0"/>
              <w:spacing w:line="520" w:lineRule="exact"/>
              <w:ind w:firstLine="462" w:firstLineChars="200"/>
              <w:contextualSpacing/>
              <w:rPr>
                <w:color w:val="000000"/>
                <w:kern w:val="0"/>
                <w:sz w:val="24"/>
                <w:szCs w:val="24"/>
              </w:rPr>
            </w:pPr>
            <w:r>
              <w:rPr>
                <w:color w:val="000000"/>
                <w:kern w:val="0"/>
                <w:sz w:val="24"/>
                <w:szCs w:val="24"/>
              </w:rPr>
              <w:t>6）为防止各方面废水集中，应根据工程实际，设置完善的废水收集设施，设置的隔油沉淀池应留有一定的余量，以防止项目废水外流，对周边水环境造成影响。</w:t>
            </w:r>
          </w:p>
          <w:p>
            <w:pPr>
              <w:snapToGrid w:val="0"/>
              <w:spacing w:line="520" w:lineRule="exact"/>
              <w:ind w:firstLine="462" w:firstLineChars="200"/>
              <w:contextualSpacing/>
              <w:rPr>
                <w:color w:val="000000"/>
                <w:kern w:val="0"/>
                <w:sz w:val="24"/>
                <w:szCs w:val="24"/>
              </w:rPr>
            </w:pPr>
            <w:r>
              <w:rPr>
                <w:color w:val="000000"/>
                <w:kern w:val="0"/>
                <w:sz w:val="24"/>
                <w:szCs w:val="24"/>
              </w:rPr>
              <w:t>在严格落实本报告提出的水污染防治措施后，本项目施工期产生的废水对周围地表水体影响不大。</w:t>
            </w:r>
          </w:p>
          <w:p>
            <w:pPr>
              <w:snapToGrid w:val="0"/>
              <w:spacing w:line="520" w:lineRule="exact"/>
              <w:ind w:firstLine="462" w:firstLineChars="200"/>
              <w:contextualSpacing/>
              <w:rPr>
                <w:color w:val="000000"/>
                <w:kern w:val="0"/>
                <w:sz w:val="24"/>
                <w:szCs w:val="24"/>
              </w:rPr>
            </w:pPr>
            <w:r>
              <w:rPr>
                <w:color w:val="000000"/>
                <w:kern w:val="0"/>
                <w:sz w:val="24"/>
                <w:szCs w:val="24"/>
              </w:rPr>
              <w:t>（2）施工期环境空气影响分析</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本项目施工对环境空气的污染主要来源于项目施工及运输扬尘、施工机械及汽车尾气。</w:t>
            </w:r>
          </w:p>
          <w:p>
            <w:pPr>
              <w:snapToGrid w:val="0"/>
              <w:spacing w:line="520" w:lineRule="exact"/>
              <w:ind w:firstLine="462" w:firstLineChars="200"/>
              <w:contextualSpacing/>
              <w:rPr>
                <w:color w:val="000000"/>
                <w:kern w:val="0"/>
                <w:sz w:val="24"/>
                <w:szCs w:val="24"/>
              </w:rPr>
            </w:pPr>
            <w:r>
              <w:rPr>
                <w:color w:val="000000"/>
                <w:kern w:val="0"/>
                <w:sz w:val="24"/>
                <w:szCs w:val="24"/>
              </w:rPr>
              <w:t>1）施工扬尘对环境的影响</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在整个施工期，产生的施工扬尘的作业有路面破除、管槽开挖、管网铺设、覆土回填、汽车运输、残土露天堆放、装卸等过程。扬尘污染主要在道路两边扩散，随着离路边的距离增加，浓度逐渐递减而趋向于背景值，在不采取任何防治措施时，一般扬尘对周围环境产生影响的距离范围在</w:t>
            </w:r>
            <w:r>
              <w:rPr>
                <w:color w:val="000000"/>
                <w:kern w:val="0"/>
                <w:sz w:val="24"/>
                <w:szCs w:val="24"/>
              </w:rPr>
              <w:t>100m</w:t>
            </w:r>
            <w:r>
              <w:rPr>
                <w:rFonts w:hint="eastAsia"/>
                <w:color w:val="000000"/>
                <w:kern w:val="0"/>
                <w:sz w:val="24"/>
                <w:szCs w:val="24"/>
              </w:rPr>
              <w:t>以内，如遇干旱无雨季节，若加上大风，施工扬尘对周围环境的影响将更为严重。</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根据有关调查显示，施工工地的扬尘主要由运输车辆的行驶产生，约占扬尘总量的</w:t>
            </w:r>
            <w:r>
              <w:rPr>
                <w:color w:val="000000"/>
                <w:kern w:val="0"/>
                <w:sz w:val="24"/>
                <w:szCs w:val="24"/>
              </w:rPr>
              <w:t>60%</w:t>
            </w:r>
            <w:r>
              <w:rPr>
                <w:rFonts w:hint="eastAsia"/>
                <w:color w:val="000000"/>
                <w:kern w:val="0"/>
                <w:sz w:val="24"/>
                <w:szCs w:val="24"/>
              </w:rPr>
              <w:t>，车辆行驶产生的扬尘，在完全干燥情况下，在同样路面清洁程度条件下，车速越快，扬尘量越大；而在同样车速情况下，路而越脏，则扬尘量越大。因此限速行驶及保持路面的清洁是减少汽车扬尘的有效手段。</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施工期扬尘的另一个原因是开挖土方露天堆放，该部分产生的扬尘主要特点是受到作业时风速的影响，因此，为了减少该部分扬尘对周围环境的影响，应避免在大风干燥天气时进行路面破除。管槽开挖和回填作业，减少开挖土方的露天堆放时间，应做到随挖随填。</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为了减轻施工扬尘对周围环境的影响，施工期间应在施工区域采取封闭围挡或对车辆行驶路进行洒水抑尘，每天洒水4~5次，可使扬尘减少70%左右。对施工场地实施每天洒水4~5次进行抑尘，可有效地控制施工扬尘，并将TSP污染距离缩小到20~50m范围。</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本项目主要是沿道路进行建设，沿线敏感目标较多，且施工期的扬尘对周围居民的环境影响较大。为了避免施工扬尘对周围居民生活来不良影响，在施工过程中主要采取以下措施进行防治：</w:t>
            </w:r>
          </w:p>
          <w:p>
            <w:pPr>
              <w:snapToGrid w:val="0"/>
              <w:spacing w:line="520" w:lineRule="exact"/>
              <w:ind w:firstLine="462" w:firstLineChars="200"/>
              <w:contextualSpacing/>
              <w:rPr>
                <w:color w:val="000000"/>
                <w:kern w:val="0"/>
                <w:sz w:val="24"/>
                <w:szCs w:val="24"/>
              </w:rPr>
            </w:pPr>
            <w:r>
              <w:rPr>
                <w:rFonts w:ascii="宋体" w:hAnsi="宋体"/>
                <w:color w:val="000000"/>
                <w:kern w:val="0"/>
                <w:sz w:val="24"/>
                <w:szCs w:val="24"/>
              </w:rPr>
              <w:t>①</w:t>
            </w:r>
            <w:r>
              <w:rPr>
                <w:color w:val="000000"/>
                <w:kern w:val="0"/>
                <w:sz w:val="24"/>
                <w:szCs w:val="24"/>
              </w:rPr>
              <w:t>对于产生的开挖弃土应及时覆盖，实行日产日清，不得在施工场地长时间堆放。</w:t>
            </w:r>
          </w:p>
          <w:p>
            <w:pPr>
              <w:snapToGrid w:val="0"/>
              <w:spacing w:line="520" w:lineRule="exact"/>
              <w:ind w:firstLine="462" w:firstLineChars="200"/>
              <w:contextualSpacing/>
              <w:rPr>
                <w:color w:val="000000"/>
                <w:kern w:val="0"/>
                <w:sz w:val="24"/>
                <w:szCs w:val="24"/>
              </w:rPr>
            </w:pPr>
            <w:r>
              <w:rPr>
                <w:rFonts w:ascii="宋体" w:hAnsi="宋体"/>
                <w:color w:val="000000"/>
                <w:kern w:val="0"/>
                <w:sz w:val="24"/>
                <w:szCs w:val="24"/>
              </w:rPr>
              <w:t>②</w:t>
            </w:r>
            <w:r>
              <w:rPr>
                <w:color w:val="000000"/>
                <w:kern w:val="0"/>
                <w:sz w:val="24"/>
                <w:szCs w:val="24"/>
              </w:rPr>
              <w:t>施工现场进行定期洒水抑尘，并对进出车辆轮胎进行清扫，确保运输车辆轮胎干净。</w:t>
            </w:r>
          </w:p>
          <w:p>
            <w:pPr>
              <w:snapToGrid w:val="0"/>
              <w:spacing w:line="520" w:lineRule="exact"/>
              <w:ind w:firstLine="462" w:firstLineChars="200"/>
              <w:contextualSpacing/>
              <w:rPr>
                <w:color w:val="000000"/>
                <w:kern w:val="0"/>
                <w:sz w:val="24"/>
                <w:szCs w:val="24"/>
              </w:rPr>
            </w:pPr>
            <w:r>
              <w:rPr>
                <w:rFonts w:ascii="宋体" w:hAnsi="宋体"/>
                <w:color w:val="000000"/>
                <w:kern w:val="0"/>
                <w:sz w:val="24"/>
                <w:szCs w:val="24"/>
              </w:rPr>
              <w:t>③</w:t>
            </w:r>
            <w:r>
              <w:rPr>
                <w:color w:val="000000"/>
                <w:kern w:val="0"/>
                <w:sz w:val="24"/>
                <w:szCs w:val="24"/>
              </w:rPr>
              <w:t>对运输渣土的车辆采取用帆布覆盖车厢的措施。</w:t>
            </w:r>
          </w:p>
          <w:p>
            <w:pPr>
              <w:snapToGrid w:val="0"/>
              <w:spacing w:line="520" w:lineRule="exact"/>
              <w:ind w:firstLine="462" w:firstLineChars="200"/>
              <w:contextualSpacing/>
              <w:rPr>
                <w:color w:val="000000"/>
                <w:kern w:val="0"/>
                <w:sz w:val="24"/>
                <w:szCs w:val="24"/>
              </w:rPr>
            </w:pPr>
            <w:r>
              <w:rPr>
                <w:rFonts w:ascii="宋体" w:hAnsi="宋体"/>
                <w:color w:val="000000"/>
                <w:kern w:val="0"/>
                <w:sz w:val="24"/>
                <w:szCs w:val="24"/>
              </w:rPr>
              <w:t>④</w:t>
            </w:r>
            <w:r>
              <w:rPr>
                <w:color w:val="000000"/>
                <w:kern w:val="0"/>
                <w:sz w:val="24"/>
                <w:szCs w:val="24"/>
              </w:rPr>
              <w:t>对于建设沿线分布着大量居民区的路段及沿线分布着行政办公楼、学校的路段，施工期间应对施工场所利用彩钢板进行围挡，并设置扬尘粘布，减少扬尘对周围环境的影响。</w:t>
            </w:r>
          </w:p>
          <w:p>
            <w:pPr>
              <w:snapToGrid w:val="0"/>
              <w:spacing w:line="520" w:lineRule="exact"/>
              <w:ind w:firstLine="462" w:firstLineChars="200"/>
              <w:contextualSpacing/>
              <w:rPr>
                <w:color w:val="000000"/>
                <w:kern w:val="0"/>
                <w:sz w:val="24"/>
                <w:szCs w:val="24"/>
              </w:rPr>
            </w:pPr>
            <w:r>
              <w:rPr>
                <w:color w:val="000000"/>
                <w:kern w:val="0"/>
                <w:sz w:val="24"/>
                <w:szCs w:val="24"/>
              </w:rPr>
              <w:t>采取以上措施后，施工扬尘对周边环境影响较小。</w:t>
            </w:r>
          </w:p>
          <w:p>
            <w:pPr>
              <w:snapToGrid w:val="0"/>
              <w:spacing w:line="520" w:lineRule="exact"/>
              <w:ind w:firstLine="462" w:firstLineChars="200"/>
              <w:contextualSpacing/>
              <w:rPr>
                <w:color w:val="000000"/>
                <w:kern w:val="0"/>
                <w:sz w:val="24"/>
                <w:szCs w:val="24"/>
              </w:rPr>
            </w:pPr>
            <w:r>
              <w:rPr>
                <w:color w:val="000000"/>
                <w:kern w:val="0"/>
                <w:sz w:val="24"/>
                <w:szCs w:val="24"/>
              </w:rPr>
              <w:t>2）施工机械及汽车尾气对环境的影响</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项目施工过程中以燃油为动力的施工机械、运输车辆会在施工场地附近排放少量燃油废气，施工单位应加强施工机械设备的维护，选用合格的燃油，避免排放未完全燃烧的黑烟，减轻机械尾气对周围空气环境的影响。另外，由于本项目沿线环境空气质量良好，大气环境容量大；施工场地地形开阔，有利于燃油废气的扩散。因此，施工期施工机械尾气对沿线大气环境质量影响很小，且影响是短暂的，随着施工的结束而消失。</w:t>
            </w:r>
          </w:p>
          <w:p>
            <w:pPr>
              <w:snapToGrid w:val="0"/>
              <w:spacing w:line="520" w:lineRule="exact"/>
              <w:ind w:firstLine="462" w:firstLineChars="200"/>
              <w:contextualSpacing/>
              <w:rPr>
                <w:color w:val="000000"/>
                <w:kern w:val="0"/>
                <w:sz w:val="24"/>
                <w:szCs w:val="24"/>
              </w:rPr>
            </w:pPr>
            <w:r>
              <w:rPr>
                <w:color w:val="000000"/>
                <w:kern w:val="0"/>
                <w:sz w:val="24"/>
                <w:szCs w:val="24"/>
              </w:rPr>
              <w:t>综上所述，在严格落实本报告提出的各项大气污染防治措施后，可较大程度地减少本项目粉尘和废气的排放量，使施工过程中对周围大气环境影响减至最小。</w:t>
            </w:r>
          </w:p>
          <w:p>
            <w:pPr>
              <w:snapToGrid w:val="0"/>
              <w:spacing w:line="520" w:lineRule="exact"/>
              <w:ind w:firstLine="462" w:firstLineChars="200"/>
              <w:contextualSpacing/>
              <w:rPr>
                <w:color w:val="000000"/>
                <w:kern w:val="0"/>
                <w:sz w:val="24"/>
                <w:szCs w:val="24"/>
              </w:rPr>
            </w:pPr>
            <w:r>
              <w:rPr>
                <w:color w:val="000000"/>
                <w:kern w:val="0"/>
                <w:sz w:val="24"/>
                <w:szCs w:val="24"/>
              </w:rPr>
              <w:t>（3）施工期声环境影响分析</w:t>
            </w:r>
          </w:p>
          <w:p>
            <w:pPr>
              <w:snapToGrid w:val="0"/>
              <w:spacing w:line="520" w:lineRule="exact"/>
              <w:ind w:firstLine="462" w:firstLineChars="200"/>
              <w:contextualSpacing/>
              <w:rPr>
                <w:color w:val="000000"/>
                <w:kern w:val="0"/>
                <w:sz w:val="24"/>
                <w:szCs w:val="24"/>
              </w:rPr>
            </w:pPr>
            <w:r>
              <w:rPr>
                <w:color w:val="000000"/>
                <w:kern w:val="0"/>
                <w:sz w:val="24"/>
                <w:szCs w:val="24"/>
              </w:rPr>
              <w:t>施工噪声主要为各种作业机械（挖掘机等）和运输车辆施工产生的噪声，施工作业及物料运输噪声可能会对沿线居民生活产生一定影响。</w:t>
            </w:r>
          </w:p>
          <w:p>
            <w:pPr>
              <w:snapToGrid w:val="0"/>
              <w:spacing w:line="520" w:lineRule="exact"/>
              <w:ind w:firstLine="462" w:firstLineChars="200"/>
              <w:contextualSpacing/>
              <w:rPr>
                <w:color w:val="000000"/>
                <w:kern w:val="0"/>
                <w:sz w:val="24"/>
                <w:szCs w:val="24"/>
              </w:rPr>
            </w:pPr>
            <w:r>
              <w:rPr>
                <w:color w:val="000000"/>
                <w:kern w:val="0"/>
                <w:sz w:val="24"/>
                <w:szCs w:val="24"/>
              </w:rPr>
              <w:t>1）施工期噪声源</w:t>
            </w:r>
          </w:p>
          <w:p>
            <w:pPr>
              <w:snapToGrid w:val="0"/>
              <w:spacing w:line="520" w:lineRule="exact"/>
              <w:ind w:firstLine="462" w:firstLineChars="200"/>
              <w:contextualSpacing/>
              <w:rPr>
                <w:color w:val="000000"/>
                <w:kern w:val="0"/>
                <w:sz w:val="24"/>
                <w:szCs w:val="24"/>
              </w:rPr>
            </w:pPr>
            <w:r>
              <w:rPr>
                <w:color w:val="000000"/>
                <w:kern w:val="0"/>
                <w:sz w:val="24"/>
                <w:szCs w:val="24"/>
              </w:rPr>
              <w:t>本项目施工采用人工施工与机械施工相结合的施工方法，人工开挖噪声值较小。施工期噪声主要来源于挖掘机、凿岩机、载重汽车等，声源强度约为80dB~95dB（A）。</w:t>
            </w:r>
          </w:p>
          <w:p>
            <w:pPr>
              <w:snapToGrid w:val="0"/>
              <w:spacing w:line="520" w:lineRule="exact"/>
              <w:ind w:firstLine="462" w:firstLineChars="200"/>
              <w:contextualSpacing/>
              <w:rPr>
                <w:color w:val="000000"/>
                <w:kern w:val="0"/>
                <w:sz w:val="24"/>
                <w:szCs w:val="24"/>
              </w:rPr>
            </w:pPr>
            <w:r>
              <w:rPr>
                <w:color w:val="000000"/>
                <w:kern w:val="0"/>
                <w:sz w:val="24"/>
                <w:szCs w:val="24"/>
              </w:rPr>
              <w:t>2）施工噪声预测方法和预测模式</w:t>
            </w:r>
          </w:p>
          <w:p>
            <w:pPr>
              <w:snapToGrid w:val="0"/>
              <w:spacing w:line="520" w:lineRule="exact"/>
              <w:ind w:firstLine="462" w:firstLineChars="200"/>
              <w:contextualSpacing/>
              <w:rPr>
                <w:color w:val="000000"/>
                <w:kern w:val="0"/>
                <w:sz w:val="24"/>
                <w:szCs w:val="24"/>
              </w:rPr>
            </w:pPr>
            <w:r>
              <w:rPr>
                <w:color w:val="000000"/>
                <w:kern w:val="0"/>
                <w:sz w:val="24"/>
                <w:szCs w:val="24"/>
              </w:rPr>
              <w:t>鉴于施工噪声的复杂性，以及施工噪声影响的区域性和阶段性，本评价根据《建筑施工场界环境噪声排放标准》（GB12523-2011），针对不同施工阶段计算出不同施工设备的噪声污染范围，以便施工单位在施工时结合实际情况采取适当的噪声污染防治措施。</w:t>
            </w:r>
          </w:p>
          <w:p>
            <w:pPr>
              <w:snapToGrid w:val="0"/>
              <w:spacing w:line="520" w:lineRule="exact"/>
              <w:ind w:firstLine="462" w:firstLineChars="200"/>
              <w:contextualSpacing/>
              <w:rPr>
                <w:color w:val="000000"/>
                <w:kern w:val="0"/>
                <w:sz w:val="24"/>
                <w:szCs w:val="24"/>
              </w:rPr>
            </w:pPr>
            <w:r>
              <w:rPr>
                <w:color w:val="000000"/>
                <w:kern w:val="0"/>
                <w:sz w:val="24"/>
                <w:szCs w:val="24"/>
              </w:rPr>
              <w:t>施工噪声可近似视为点源处理，根据点源噪声衰减模式，估算出离声源不同距离处的噪声值，预测模式如下：</w:t>
            </w:r>
          </w:p>
          <w:p>
            <w:pPr>
              <w:widowControl/>
              <w:jc w:val="center"/>
              <w:rPr>
                <w:rFonts w:ascii="宋体" w:hAnsi="宋体" w:cs="宋体"/>
                <w:kern w:val="0"/>
                <w:sz w:val="24"/>
                <w:szCs w:val="24"/>
              </w:rPr>
            </w:pPr>
            <w:r>
              <w:rPr>
                <w:rFonts w:ascii="宋体" w:hAnsi="宋体" w:cs="宋体"/>
                <w:kern w:val="0"/>
                <w:sz w:val="24"/>
                <w:szCs w:val="24"/>
              </w:rPr>
              <w:fldChar w:fldCharType="begin"/>
            </w:r>
            <w:r>
              <w:rPr>
                <w:rFonts w:ascii="宋体" w:hAnsi="宋体" w:cs="宋体"/>
                <w:kern w:val="0"/>
                <w:sz w:val="24"/>
                <w:szCs w:val="24"/>
              </w:rPr>
              <w:instrText xml:space="preserve"> INCLUDEPICTURE "C:\\Users\\Administrator\\AppData\\Roaming\\Tencent\\Users\\75795492\\QQ\\WinTemp\\RichOle\\54`_NX(_[)71]YSN[K_93`R.png" \* MERGEFORMATINET </w:instrText>
            </w:r>
            <w:r>
              <w:rPr>
                <w:rFonts w:ascii="宋体" w:hAnsi="宋体" w:cs="宋体"/>
                <w:kern w:val="0"/>
                <w:sz w:val="24"/>
                <w:szCs w:val="24"/>
              </w:rPr>
              <w:fldChar w:fldCharType="separate"/>
            </w:r>
            <w:r>
              <w:rPr>
                <w:rFonts w:ascii="宋体" w:hAnsi="宋体" w:cs="宋体"/>
                <w:kern w:val="0"/>
                <w:sz w:val="24"/>
                <w:szCs w:val="24"/>
              </w:rPr>
              <w:drawing>
                <wp:inline distT="0" distB="0" distL="114300" distR="114300">
                  <wp:extent cx="2043430" cy="373380"/>
                  <wp:effectExtent l="0" t="0" r="13970" b="7620"/>
                  <wp:docPr id="5" name="图片 5" descr="54`_NX(_[)71]YSN[K_93`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4`_NX(_[)71]YSN[K_93`R"/>
                          <pic:cNvPicPr>
                            <a:picLocks noChangeAspect="1"/>
                          </pic:cNvPicPr>
                        </pic:nvPicPr>
                        <pic:blipFill>
                          <a:blip r:embed="rId11" cstate="print"/>
                          <a:stretch>
                            <a:fillRect/>
                          </a:stretch>
                        </pic:blipFill>
                        <pic:spPr>
                          <a:xfrm>
                            <a:off x="0" y="0"/>
                            <a:ext cx="2043430" cy="373380"/>
                          </a:xfrm>
                          <a:prstGeom prst="rect">
                            <a:avLst/>
                          </a:prstGeom>
                          <a:noFill/>
                          <a:ln w="9525">
                            <a:noFill/>
                          </a:ln>
                        </pic:spPr>
                      </pic:pic>
                    </a:graphicData>
                  </a:graphic>
                </wp:inline>
              </w:drawing>
            </w:r>
            <w:r>
              <w:rPr>
                <w:rFonts w:ascii="宋体" w:hAnsi="宋体" w:cs="宋体"/>
                <w:kern w:val="0"/>
                <w:sz w:val="24"/>
                <w:szCs w:val="24"/>
              </w:rPr>
              <w:fldChar w:fldCharType="end"/>
            </w:r>
          </w:p>
          <w:p>
            <w:pPr>
              <w:snapToGrid w:val="0"/>
              <w:spacing w:line="520" w:lineRule="exact"/>
              <w:ind w:firstLine="462" w:firstLineChars="200"/>
              <w:contextualSpacing/>
              <w:rPr>
                <w:color w:val="000000"/>
                <w:kern w:val="0"/>
                <w:sz w:val="24"/>
                <w:szCs w:val="24"/>
              </w:rPr>
            </w:pPr>
            <w:r>
              <w:rPr>
                <w:color w:val="000000"/>
                <w:kern w:val="0"/>
                <w:sz w:val="24"/>
                <w:szCs w:val="24"/>
              </w:rPr>
              <w:t>式中：L</w:t>
            </w:r>
            <w:r>
              <w:rPr>
                <w:color w:val="000000"/>
                <w:kern w:val="0"/>
                <w:sz w:val="24"/>
                <w:szCs w:val="24"/>
                <w:vertAlign w:val="subscript"/>
              </w:rPr>
              <w:t>I</w:t>
            </w:r>
            <w:r>
              <w:rPr>
                <w:color w:val="000000"/>
                <w:kern w:val="0"/>
                <w:sz w:val="24"/>
                <w:szCs w:val="24"/>
              </w:rPr>
              <w:t>—距声源R</w:t>
            </w:r>
            <w:r>
              <w:rPr>
                <w:color w:val="000000"/>
                <w:kern w:val="0"/>
                <w:sz w:val="24"/>
                <w:szCs w:val="24"/>
                <w:vertAlign w:val="subscript"/>
              </w:rPr>
              <w:t>i</w:t>
            </w:r>
            <w:r>
              <w:rPr>
                <w:color w:val="000000"/>
                <w:kern w:val="0"/>
                <w:sz w:val="24"/>
                <w:szCs w:val="24"/>
              </w:rPr>
              <w:t xml:space="preserve"> 米处的施工噪声预测值，dB；</w:t>
            </w:r>
          </w:p>
          <w:p>
            <w:pPr>
              <w:snapToGrid w:val="0"/>
              <w:spacing w:line="520" w:lineRule="exact"/>
              <w:ind w:firstLine="1155" w:firstLineChars="500"/>
              <w:contextualSpacing/>
              <w:rPr>
                <w:color w:val="000000"/>
                <w:kern w:val="0"/>
                <w:sz w:val="24"/>
                <w:szCs w:val="24"/>
              </w:rPr>
            </w:pPr>
            <w:r>
              <w:rPr>
                <w:color w:val="000000"/>
                <w:kern w:val="0"/>
                <w:sz w:val="24"/>
                <w:szCs w:val="24"/>
              </w:rPr>
              <w:t>L</w:t>
            </w:r>
            <w:r>
              <w:rPr>
                <w:color w:val="000000"/>
                <w:kern w:val="0"/>
                <w:sz w:val="24"/>
                <w:szCs w:val="24"/>
                <w:vertAlign w:val="subscript"/>
              </w:rPr>
              <w:t>0</w:t>
            </w:r>
            <w:r>
              <w:rPr>
                <w:color w:val="000000"/>
                <w:kern w:val="0"/>
                <w:sz w:val="24"/>
                <w:szCs w:val="24"/>
              </w:rPr>
              <w:t>—距声源R</w:t>
            </w:r>
            <w:r>
              <w:rPr>
                <w:color w:val="000000"/>
                <w:kern w:val="0"/>
                <w:sz w:val="24"/>
                <w:szCs w:val="24"/>
                <w:vertAlign w:val="subscript"/>
              </w:rPr>
              <w:t xml:space="preserve">0 </w:t>
            </w:r>
            <w:r>
              <w:rPr>
                <w:color w:val="000000"/>
                <w:kern w:val="0"/>
                <w:sz w:val="24"/>
                <w:szCs w:val="24"/>
              </w:rPr>
              <w:t>米的施工噪声级，dB；</w:t>
            </w:r>
          </w:p>
          <w:p>
            <w:pPr>
              <w:snapToGrid w:val="0"/>
              <w:spacing w:line="520" w:lineRule="exact"/>
              <w:ind w:firstLine="1155" w:firstLineChars="500"/>
              <w:contextualSpacing/>
              <w:rPr>
                <w:color w:val="000000"/>
                <w:kern w:val="0"/>
                <w:sz w:val="24"/>
                <w:szCs w:val="24"/>
              </w:rPr>
            </w:pPr>
            <w:r>
              <w:rPr>
                <w:color w:val="000000"/>
                <w:kern w:val="0"/>
                <w:sz w:val="24"/>
                <w:szCs w:val="24"/>
              </w:rPr>
              <w:t>L—障碍物、植被、空气等产生的附加衰减量。</w:t>
            </w:r>
          </w:p>
          <w:p>
            <w:pPr>
              <w:snapToGrid w:val="0"/>
              <w:spacing w:line="520" w:lineRule="exact"/>
              <w:ind w:firstLine="462" w:firstLineChars="200"/>
              <w:contextualSpacing/>
              <w:rPr>
                <w:color w:val="FF0000"/>
                <w:kern w:val="0"/>
                <w:sz w:val="24"/>
                <w:szCs w:val="24"/>
              </w:rPr>
            </w:pPr>
            <w:r>
              <w:rPr>
                <w:color w:val="000000"/>
                <w:kern w:val="0"/>
                <w:sz w:val="24"/>
                <w:szCs w:val="24"/>
              </w:rPr>
              <w:t>对于多台施工机械同时作业时对某个预测点的影响，应进行声级迭加。根据噪声衰减特点预测施工机械噪声的影响情况见表7-1。</w:t>
            </w:r>
          </w:p>
          <w:p>
            <w:pPr>
              <w:snapToGrid w:val="0"/>
              <w:spacing w:line="520" w:lineRule="exact"/>
              <w:contextualSpacing/>
              <w:jc w:val="center"/>
              <w:rPr>
                <w:b/>
                <w:bCs/>
                <w:color w:val="000000"/>
                <w:sz w:val="24"/>
                <w:szCs w:val="24"/>
              </w:rPr>
            </w:pPr>
            <w:r>
              <w:rPr>
                <w:b/>
                <w:bCs/>
                <w:color w:val="000000"/>
                <w:sz w:val="24"/>
                <w:szCs w:val="24"/>
              </w:rPr>
              <w:t>表7-1   主要施工机械不同距离处的噪声值    单位：dB（A）</w:t>
            </w:r>
          </w:p>
          <w:tbl>
            <w:tblPr>
              <w:tblStyle w:val="19"/>
              <w:tblW w:w="8291"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71"/>
              <w:gridCol w:w="793"/>
              <w:gridCol w:w="709"/>
              <w:gridCol w:w="709"/>
              <w:gridCol w:w="709"/>
              <w:gridCol w:w="708"/>
              <w:gridCol w:w="709"/>
              <w:gridCol w:w="709"/>
              <w:gridCol w:w="766"/>
              <w:gridCol w:w="7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spacing w:line="360" w:lineRule="exact"/>
                    <w:jc w:val="center"/>
                    <w:rPr>
                      <w:bCs/>
                      <w:color w:val="000000"/>
                      <w:szCs w:val="21"/>
                    </w:rPr>
                  </w:pPr>
                  <w:r>
                    <w:rPr>
                      <w:rFonts w:hint="eastAsia"/>
                      <w:bCs/>
                      <w:color w:val="000000"/>
                      <w:szCs w:val="21"/>
                    </w:rPr>
                    <w:t>机械类型</w:t>
                  </w:r>
                </w:p>
              </w:tc>
              <w:tc>
                <w:tcPr>
                  <w:tcW w:w="793" w:type="dxa"/>
                  <w:vAlign w:val="center"/>
                </w:tcPr>
                <w:p>
                  <w:pPr>
                    <w:spacing w:line="360" w:lineRule="exact"/>
                    <w:jc w:val="center"/>
                    <w:rPr>
                      <w:bCs/>
                      <w:color w:val="000000"/>
                      <w:szCs w:val="21"/>
                    </w:rPr>
                  </w:pPr>
                  <w:r>
                    <w:rPr>
                      <w:rFonts w:hint="eastAsia"/>
                      <w:bCs/>
                      <w:color w:val="000000"/>
                      <w:szCs w:val="21"/>
                    </w:rPr>
                    <w:t>5m</w:t>
                  </w:r>
                </w:p>
              </w:tc>
              <w:tc>
                <w:tcPr>
                  <w:tcW w:w="709" w:type="dxa"/>
                  <w:vAlign w:val="center"/>
                </w:tcPr>
                <w:p>
                  <w:pPr>
                    <w:jc w:val="center"/>
                    <w:rPr>
                      <w:bCs/>
                      <w:color w:val="000000"/>
                      <w:szCs w:val="21"/>
                    </w:rPr>
                  </w:pPr>
                  <w:r>
                    <w:rPr>
                      <w:bCs/>
                      <w:color w:val="000000"/>
                      <w:szCs w:val="21"/>
                    </w:rPr>
                    <w:t>10m</w:t>
                  </w:r>
                </w:p>
              </w:tc>
              <w:tc>
                <w:tcPr>
                  <w:tcW w:w="709" w:type="dxa"/>
                  <w:vAlign w:val="center"/>
                </w:tcPr>
                <w:p>
                  <w:pPr>
                    <w:jc w:val="center"/>
                    <w:rPr>
                      <w:bCs/>
                      <w:color w:val="000000"/>
                      <w:szCs w:val="21"/>
                    </w:rPr>
                  </w:pPr>
                  <w:r>
                    <w:rPr>
                      <w:bCs/>
                      <w:color w:val="000000"/>
                      <w:szCs w:val="21"/>
                    </w:rPr>
                    <w:t>20m</w:t>
                  </w:r>
                </w:p>
              </w:tc>
              <w:tc>
                <w:tcPr>
                  <w:tcW w:w="709" w:type="dxa"/>
                  <w:vAlign w:val="center"/>
                </w:tcPr>
                <w:p>
                  <w:pPr>
                    <w:jc w:val="center"/>
                    <w:rPr>
                      <w:bCs/>
                      <w:color w:val="000000"/>
                      <w:szCs w:val="21"/>
                    </w:rPr>
                  </w:pPr>
                  <w:r>
                    <w:rPr>
                      <w:bCs/>
                      <w:color w:val="000000"/>
                      <w:szCs w:val="21"/>
                    </w:rPr>
                    <w:t>40m</w:t>
                  </w:r>
                </w:p>
              </w:tc>
              <w:tc>
                <w:tcPr>
                  <w:tcW w:w="708" w:type="dxa"/>
                  <w:vAlign w:val="center"/>
                </w:tcPr>
                <w:p>
                  <w:pPr>
                    <w:jc w:val="center"/>
                    <w:rPr>
                      <w:bCs/>
                      <w:color w:val="000000"/>
                      <w:szCs w:val="21"/>
                    </w:rPr>
                  </w:pPr>
                  <w:r>
                    <w:rPr>
                      <w:bCs/>
                      <w:color w:val="000000"/>
                      <w:szCs w:val="21"/>
                    </w:rPr>
                    <w:t>60m</w:t>
                  </w:r>
                </w:p>
              </w:tc>
              <w:tc>
                <w:tcPr>
                  <w:tcW w:w="709" w:type="dxa"/>
                  <w:vAlign w:val="center"/>
                </w:tcPr>
                <w:p>
                  <w:pPr>
                    <w:jc w:val="center"/>
                    <w:rPr>
                      <w:bCs/>
                      <w:color w:val="000000"/>
                      <w:szCs w:val="21"/>
                    </w:rPr>
                  </w:pPr>
                  <w:r>
                    <w:rPr>
                      <w:bCs/>
                      <w:color w:val="000000"/>
                      <w:szCs w:val="21"/>
                    </w:rPr>
                    <w:t>80m</w:t>
                  </w:r>
                </w:p>
              </w:tc>
              <w:tc>
                <w:tcPr>
                  <w:tcW w:w="709" w:type="dxa"/>
                  <w:vAlign w:val="center"/>
                </w:tcPr>
                <w:p>
                  <w:pPr>
                    <w:jc w:val="center"/>
                    <w:rPr>
                      <w:bCs/>
                      <w:color w:val="000000"/>
                      <w:szCs w:val="21"/>
                    </w:rPr>
                  </w:pPr>
                  <w:r>
                    <w:rPr>
                      <w:bCs/>
                      <w:color w:val="000000"/>
                      <w:szCs w:val="21"/>
                    </w:rPr>
                    <w:t>100m</w:t>
                  </w:r>
                </w:p>
              </w:tc>
              <w:tc>
                <w:tcPr>
                  <w:tcW w:w="766" w:type="dxa"/>
                  <w:vAlign w:val="center"/>
                </w:tcPr>
                <w:p>
                  <w:pPr>
                    <w:jc w:val="center"/>
                    <w:rPr>
                      <w:bCs/>
                      <w:color w:val="000000"/>
                      <w:szCs w:val="21"/>
                    </w:rPr>
                  </w:pPr>
                  <w:r>
                    <w:rPr>
                      <w:bCs/>
                      <w:color w:val="000000"/>
                      <w:szCs w:val="21"/>
                    </w:rPr>
                    <w:t>150m</w:t>
                  </w:r>
                </w:p>
              </w:tc>
              <w:tc>
                <w:tcPr>
                  <w:tcW w:w="708" w:type="dxa"/>
                  <w:vAlign w:val="center"/>
                </w:tcPr>
                <w:p>
                  <w:pPr>
                    <w:jc w:val="center"/>
                    <w:rPr>
                      <w:bCs/>
                      <w:color w:val="000000"/>
                      <w:szCs w:val="21"/>
                    </w:rPr>
                  </w:pPr>
                  <w:r>
                    <w:rPr>
                      <w:bCs/>
                      <w:color w:val="000000"/>
                      <w:szCs w:val="21"/>
                    </w:rPr>
                    <w:t>200m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spacing w:line="360" w:lineRule="exact"/>
                    <w:jc w:val="center"/>
                    <w:rPr>
                      <w:bCs/>
                      <w:color w:val="000000"/>
                      <w:szCs w:val="21"/>
                    </w:rPr>
                  </w:pPr>
                  <w:r>
                    <w:rPr>
                      <w:rFonts w:hint="eastAsia"/>
                      <w:bCs/>
                      <w:color w:val="000000"/>
                      <w:szCs w:val="21"/>
                    </w:rPr>
                    <w:t>装载机</w:t>
                  </w:r>
                </w:p>
              </w:tc>
              <w:tc>
                <w:tcPr>
                  <w:tcW w:w="793" w:type="dxa"/>
                  <w:vAlign w:val="center"/>
                </w:tcPr>
                <w:p>
                  <w:pPr>
                    <w:jc w:val="center"/>
                    <w:rPr>
                      <w:bCs/>
                      <w:color w:val="000000"/>
                      <w:szCs w:val="21"/>
                    </w:rPr>
                  </w:pPr>
                  <w:r>
                    <w:rPr>
                      <w:rFonts w:hint="eastAsia"/>
                      <w:bCs/>
                      <w:color w:val="000000"/>
                      <w:szCs w:val="21"/>
                    </w:rPr>
                    <w:t>90</w:t>
                  </w:r>
                </w:p>
              </w:tc>
              <w:tc>
                <w:tcPr>
                  <w:tcW w:w="709" w:type="dxa"/>
                  <w:vAlign w:val="center"/>
                </w:tcPr>
                <w:p>
                  <w:pPr>
                    <w:jc w:val="center"/>
                    <w:rPr>
                      <w:bCs/>
                      <w:color w:val="000000"/>
                      <w:szCs w:val="21"/>
                    </w:rPr>
                  </w:pPr>
                  <w:r>
                    <w:rPr>
                      <w:rFonts w:hint="eastAsia"/>
                      <w:bCs/>
                      <w:color w:val="000000"/>
                      <w:szCs w:val="21"/>
                    </w:rPr>
                    <w:t>84</w:t>
                  </w:r>
                </w:p>
              </w:tc>
              <w:tc>
                <w:tcPr>
                  <w:tcW w:w="709" w:type="dxa"/>
                  <w:vAlign w:val="center"/>
                </w:tcPr>
                <w:p>
                  <w:pPr>
                    <w:jc w:val="center"/>
                    <w:rPr>
                      <w:bCs/>
                      <w:color w:val="000000"/>
                      <w:szCs w:val="21"/>
                    </w:rPr>
                  </w:pPr>
                  <w:r>
                    <w:rPr>
                      <w:rFonts w:hint="eastAsia"/>
                      <w:bCs/>
                      <w:color w:val="000000"/>
                      <w:szCs w:val="21"/>
                    </w:rPr>
                    <w:t>78</w:t>
                  </w:r>
                </w:p>
              </w:tc>
              <w:tc>
                <w:tcPr>
                  <w:tcW w:w="709" w:type="dxa"/>
                  <w:vAlign w:val="center"/>
                </w:tcPr>
                <w:p>
                  <w:pPr>
                    <w:jc w:val="center"/>
                    <w:rPr>
                      <w:bCs/>
                      <w:color w:val="000000"/>
                      <w:szCs w:val="21"/>
                    </w:rPr>
                  </w:pPr>
                  <w:r>
                    <w:rPr>
                      <w:rFonts w:hint="eastAsia"/>
                      <w:bCs/>
                      <w:color w:val="000000"/>
                      <w:szCs w:val="21"/>
                    </w:rPr>
                    <w:t>72</w:t>
                  </w:r>
                </w:p>
              </w:tc>
              <w:tc>
                <w:tcPr>
                  <w:tcW w:w="708" w:type="dxa"/>
                  <w:vAlign w:val="center"/>
                </w:tcPr>
                <w:p>
                  <w:pPr>
                    <w:jc w:val="center"/>
                    <w:rPr>
                      <w:bCs/>
                      <w:color w:val="000000"/>
                      <w:szCs w:val="21"/>
                    </w:rPr>
                  </w:pPr>
                  <w:r>
                    <w:rPr>
                      <w:rFonts w:hint="eastAsia"/>
                      <w:bCs/>
                      <w:color w:val="000000"/>
                      <w:szCs w:val="21"/>
                    </w:rPr>
                    <w:t>68.5</w:t>
                  </w:r>
                </w:p>
              </w:tc>
              <w:tc>
                <w:tcPr>
                  <w:tcW w:w="709" w:type="dxa"/>
                  <w:vAlign w:val="center"/>
                </w:tcPr>
                <w:p>
                  <w:pPr>
                    <w:jc w:val="center"/>
                    <w:rPr>
                      <w:bCs/>
                      <w:color w:val="000000"/>
                      <w:szCs w:val="21"/>
                    </w:rPr>
                  </w:pPr>
                  <w:r>
                    <w:rPr>
                      <w:rFonts w:hint="eastAsia"/>
                      <w:bCs/>
                      <w:color w:val="000000"/>
                      <w:szCs w:val="21"/>
                    </w:rPr>
                    <w:t>66</w:t>
                  </w:r>
                </w:p>
              </w:tc>
              <w:tc>
                <w:tcPr>
                  <w:tcW w:w="709" w:type="dxa"/>
                  <w:vAlign w:val="center"/>
                </w:tcPr>
                <w:p>
                  <w:pPr>
                    <w:jc w:val="center"/>
                    <w:rPr>
                      <w:bCs/>
                      <w:color w:val="000000"/>
                      <w:szCs w:val="21"/>
                    </w:rPr>
                  </w:pPr>
                  <w:r>
                    <w:rPr>
                      <w:rFonts w:hint="eastAsia"/>
                      <w:bCs/>
                      <w:color w:val="000000"/>
                      <w:szCs w:val="21"/>
                    </w:rPr>
                    <w:t>64</w:t>
                  </w:r>
                </w:p>
              </w:tc>
              <w:tc>
                <w:tcPr>
                  <w:tcW w:w="766" w:type="dxa"/>
                  <w:vAlign w:val="center"/>
                </w:tcPr>
                <w:p>
                  <w:pPr>
                    <w:jc w:val="center"/>
                    <w:rPr>
                      <w:bCs/>
                      <w:color w:val="000000"/>
                      <w:szCs w:val="21"/>
                    </w:rPr>
                  </w:pPr>
                  <w:r>
                    <w:rPr>
                      <w:rFonts w:hint="eastAsia"/>
                      <w:bCs/>
                      <w:color w:val="000000"/>
                      <w:szCs w:val="21"/>
                    </w:rPr>
                    <w:t>60.5</w:t>
                  </w:r>
                </w:p>
              </w:tc>
              <w:tc>
                <w:tcPr>
                  <w:tcW w:w="708" w:type="dxa"/>
                  <w:vAlign w:val="center"/>
                </w:tcPr>
                <w:p>
                  <w:pPr>
                    <w:jc w:val="center"/>
                    <w:rPr>
                      <w:bCs/>
                      <w:color w:val="000000"/>
                      <w:szCs w:val="21"/>
                    </w:rPr>
                  </w:pPr>
                  <w:r>
                    <w:rPr>
                      <w:rFonts w:hint="eastAsia"/>
                      <w:bCs/>
                      <w:color w:val="000000"/>
                      <w:szCs w:val="21"/>
                    </w:rPr>
                    <w:t>58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spacing w:line="360" w:lineRule="exact"/>
                    <w:jc w:val="center"/>
                    <w:rPr>
                      <w:bCs/>
                      <w:color w:val="000000"/>
                      <w:szCs w:val="21"/>
                    </w:rPr>
                  </w:pPr>
                  <w:r>
                    <w:rPr>
                      <w:rFonts w:hint="eastAsia"/>
                      <w:bCs/>
                      <w:color w:val="000000"/>
                      <w:szCs w:val="21"/>
                    </w:rPr>
                    <w:t>推土机</w:t>
                  </w:r>
                </w:p>
              </w:tc>
              <w:tc>
                <w:tcPr>
                  <w:tcW w:w="793" w:type="dxa"/>
                  <w:vAlign w:val="center"/>
                </w:tcPr>
                <w:p>
                  <w:pPr>
                    <w:jc w:val="center"/>
                    <w:rPr>
                      <w:bCs/>
                      <w:color w:val="000000"/>
                      <w:szCs w:val="21"/>
                    </w:rPr>
                  </w:pPr>
                  <w:r>
                    <w:rPr>
                      <w:rFonts w:hint="eastAsia"/>
                      <w:bCs/>
                      <w:color w:val="000000"/>
                      <w:szCs w:val="21"/>
                    </w:rPr>
                    <w:t>86</w:t>
                  </w:r>
                </w:p>
              </w:tc>
              <w:tc>
                <w:tcPr>
                  <w:tcW w:w="709" w:type="dxa"/>
                  <w:vAlign w:val="center"/>
                </w:tcPr>
                <w:p>
                  <w:pPr>
                    <w:jc w:val="center"/>
                    <w:rPr>
                      <w:bCs/>
                      <w:color w:val="000000"/>
                      <w:szCs w:val="21"/>
                    </w:rPr>
                  </w:pPr>
                  <w:r>
                    <w:rPr>
                      <w:rFonts w:hint="eastAsia"/>
                      <w:bCs/>
                      <w:color w:val="000000"/>
                      <w:szCs w:val="21"/>
                    </w:rPr>
                    <w:t>80</w:t>
                  </w:r>
                </w:p>
              </w:tc>
              <w:tc>
                <w:tcPr>
                  <w:tcW w:w="709" w:type="dxa"/>
                  <w:vAlign w:val="center"/>
                </w:tcPr>
                <w:p>
                  <w:pPr>
                    <w:jc w:val="center"/>
                    <w:rPr>
                      <w:bCs/>
                      <w:color w:val="000000"/>
                      <w:szCs w:val="21"/>
                    </w:rPr>
                  </w:pPr>
                  <w:r>
                    <w:rPr>
                      <w:rFonts w:hint="eastAsia"/>
                      <w:bCs/>
                      <w:color w:val="000000"/>
                      <w:szCs w:val="21"/>
                    </w:rPr>
                    <w:t>74</w:t>
                  </w:r>
                </w:p>
              </w:tc>
              <w:tc>
                <w:tcPr>
                  <w:tcW w:w="709" w:type="dxa"/>
                  <w:vAlign w:val="center"/>
                </w:tcPr>
                <w:p>
                  <w:pPr>
                    <w:jc w:val="center"/>
                    <w:rPr>
                      <w:bCs/>
                      <w:color w:val="000000"/>
                      <w:szCs w:val="21"/>
                    </w:rPr>
                  </w:pPr>
                  <w:r>
                    <w:rPr>
                      <w:rFonts w:hint="eastAsia"/>
                      <w:bCs/>
                      <w:color w:val="000000"/>
                      <w:szCs w:val="21"/>
                    </w:rPr>
                    <w:t>68</w:t>
                  </w:r>
                </w:p>
              </w:tc>
              <w:tc>
                <w:tcPr>
                  <w:tcW w:w="708" w:type="dxa"/>
                  <w:vAlign w:val="center"/>
                </w:tcPr>
                <w:p>
                  <w:pPr>
                    <w:jc w:val="center"/>
                    <w:rPr>
                      <w:bCs/>
                      <w:color w:val="000000"/>
                      <w:szCs w:val="21"/>
                    </w:rPr>
                  </w:pPr>
                  <w:r>
                    <w:rPr>
                      <w:rFonts w:hint="eastAsia"/>
                      <w:bCs/>
                      <w:color w:val="000000"/>
                      <w:szCs w:val="21"/>
                    </w:rPr>
                    <w:t>64.5</w:t>
                  </w:r>
                </w:p>
              </w:tc>
              <w:tc>
                <w:tcPr>
                  <w:tcW w:w="709" w:type="dxa"/>
                  <w:vAlign w:val="center"/>
                </w:tcPr>
                <w:p>
                  <w:pPr>
                    <w:jc w:val="center"/>
                    <w:rPr>
                      <w:bCs/>
                      <w:color w:val="000000"/>
                      <w:szCs w:val="21"/>
                    </w:rPr>
                  </w:pPr>
                  <w:r>
                    <w:rPr>
                      <w:rFonts w:hint="eastAsia"/>
                      <w:bCs/>
                      <w:color w:val="000000"/>
                      <w:szCs w:val="21"/>
                    </w:rPr>
                    <w:t>62</w:t>
                  </w:r>
                </w:p>
              </w:tc>
              <w:tc>
                <w:tcPr>
                  <w:tcW w:w="709" w:type="dxa"/>
                  <w:vAlign w:val="center"/>
                </w:tcPr>
                <w:p>
                  <w:pPr>
                    <w:jc w:val="center"/>
                    <w:rPr>
                      <w:bCs/>
                      <w:color w:val="000000"/>
                      <w:szCs w:val="21"/>
                    </w:rPr>
                  </w:pPr>
                  <w:r>
                    <w:rPr>
                      <w:rFonts w:hint="eastAsia"/>
                      <w:bCs/>
                      <w:color w:val="000000"/>
                      <w:szCs w:val="21"/>
                    </w:rPr>
                    <w:t>60</w:t>
                  </w:r>
                </w:p>
              </w:tc>
              <w:tc>
                <w:tcPr>
                  <w:tcW w:w="766" w:type="dxa"/>
                  <w:vAlign w:val="center"/>
                </w:tcPr>
                <w:p>
                  <w:pPr>
                    <w:jc w:val="center"/>
                    <w:rPr>
                      <w:bCs/>
                      <w:color w:val="000000"/>
                      <w:szCs w:val="21"/>
                    </w:rPr>
                  </w:pPr>
                  <w:r>
                    <w:rPr>
                      <w:rFonts w:hint="eastAsia"/>
                      <w:bCs/>
                      <w:color w:val="000000"/>
                      <w:szCs w:val="21"/>
                    </w:rPr>
                    <w:t>56.5</w:t>
                  </w:r>
                </w:p>
              </w:tc>
              <w:tc>
                <w:tcPr>
                  <w:tcW w:w="708" w:type="dxa"/>
                  <w:vAlign w:val="center"/>
                </w:tcPr>
                <w:p>
                  <w:pPr>
                    <w:jc w:val="center"/>
                    <w:rPr>
                      <w:bCs/>
                      <w:color w:val="000000"/>
                      <w:szCs w:val="21"/>
                    </w:rPr>
                  </w:pPr>
                  <w:r>
                    <w:rPr>
                      <w:rFonts w:hint="eastAsia"/>
                      <w:bCs/>
                      <w:color w:val="000000"/>
                      <w:szCs w:val="21"/>
                    </w:rPr>
                    <w:t>54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jc w:val="center"/>
                    <w:rPr>
                      <w:bCs/>
                      <w:color w:val="000000"/>
                      <w:szCs w:val="21"/>
                    </w:rPr>
                  </w:pPr>
                  <w:r>
                    <w:rPr>
                      <w:rFonts w:hint="eastAsia"/>
                      <w:bCs/>
                      <w:color w:val="000000"/>
                      <w:szCs w:val="21"/>
                    </w:rPr>
                    <w:t>挖掘机</w:t>
                  </w:r>
                </w:p>
              </w:tc>
              <w:tc>
                <w:tcPr>
                  <w:tcW w:w="793" w:type="dxa"/>
                  <w:vAlign w:val="center"/>
                </w:tcPr>
                <w:p>
                  <w:pPr>
                    <w:jc w:val="center"/>
                    <w:rPr>
                      <w:bCs/>
                      <w:color w:val="000000"/>
                      <w:szCs w:val="21"/>
                    </w:rPr>
                  </w:pPr>
                  <w:r>
                    <w:rPr>
                      <w:rFonts w:hint="eastAsia"/>
                      <w:bCs/>
                      <w:color w:val="000000"/>
                      <w:szCs w:val="21"/>
                    </w:rPr>
                    <w:t>84</w:t>
                  </w:r>
                </w:p>
              </w:tc>
              <w:tc>
                <w:tcPr>
                  <w:tcW w:w="709" w:type="dxa"/>
                  <w:vAlign w:val="center"/>
                </w:tcPr>
                <w:p>
                  <w:pPr>
                    <w:jc w:val="center"/>
                    <w:rPr>
                      <w:bCs/>
                      <w:color w:val="000000"/>
                      <w:szCs w:val="21"/>
                    </w:rPr>
                  </w:pPr>
                  <w:r>
                    <w:rPr>
                      <w:bCs/>
                      <w:color w:val="000000"/>
                      <w:szCs w:val="21"/>
                    </w:rPr>
                    <w:t>7</w:t>
                  </w:r>
                  <w:r>
                    <w:rPr>
                      <w:rFonts w:hint="eastAsia"/>
                      <w:bCs/>
                      <w:color w:val="000000"/>
                      <w:szCs w:val="21"/>
                    </w:rPr>
                    <w:t>8</w:t>
                  </w:r>
                </w:p>
              </w:tc>
              <w:tc>
                <w:tcPr>
                  <w:tcW w:w="709" w:type="dxa"/>
                  <w:vAlign w:val="center"/>
                </w:tcPr>
                <w:p>
                  <w:pPr>
                    <w:jc w:val="center"/>
                    <w:rPr>
                      <w:bCs/>
                      <w:color w:val="000000"/>
                      <w:szCs w:val="21"/>
                    </w:rPr>
                  </w:pPr>
                  <w:r>
                    <w:rPr>
                      <w:rFonts w:hint="eastAsia"/>
                      <w:bCs/>
                      <w:color w:val="000000"/>
                      <w:szCs w:val="21"/>
                    </w:rPr>
                    <w:t>72</w:t>
                  </w:r>
                </w:p>
              </w:tc>
              <w:tc>
                <w:tcPr>
                  <w:tcW w:w="709" w:type="dxa"/>
                  <w:vAlign w:val="center"/>
                </w:tcPr>
                <w:p>
                  <w:pPr>
                    <w:jc w:val="center"/>
                    <w:rPr>
                      <w:bCs/>
                      <w:color w:val="000000"/>
                      <w:szCs w:val="21"/>
                    </w:rPr>
                  </w:pPr>
                  <w:r>
                    <w:rPr>
                      <w:rFonts w:hint="eastAsia"/>
                      <w:bCs/>
                      <w:color w:val="000000"/>
                      <w:szCs w:val="21"/>
                    </w:rPr>
                    <w:t>66</w:t>
                  </w:r>
                </w:p>
              </w:tc>
              <w:tc>
                <w:tcPr>
                  <w:tcW w:w="708" w:type="dxa"/>
                  <w:vAlign w:val="center"/>
                </w:tcPr>
                <w:p>
                  <w:pPr>
                    <w:jc w:val="center"/>
                    <w:rPr>
                      <w:bCs/>
                      <w:color w:val="000000"/>
                      <w:szCs w:val="21"/>
                    </w:rPr>
                  </w:pPr>
                  <w:r>
                    <w:rPr>
                      <w:rFonts w:hint="eastAsia"/>
                      <w:bCs/>
                      <w:color w:val="000000"/>
                      <w:szCs w:val="21"/>
                    </w:rPr>
                    <w:t>62.5</w:t>
                  </w:r>
                </w:p>
              </w:tc>
              <w:tc>
                <w:tcPr>
                  <w:tcW w:w="709" w:type="dxa"/>
                  <w:vAlign w:val="center"/>
                </w:tcPr>
                <w:p>
                  <w:pPr>
                    <w:jc w:val="center"/>
                    <w:rPr>
                      <w:bCs/>
                      <w:color w:val="000000"/>
                      <w:szCs w:val="21"/>
                    </w:rPr>
                  </w:pPr>
                  <w:r>
                    <w:rPr>
                      <w:rFonts w:hint="eastAsia"/>
                      <w:bCs/>
                      <w:color w:val="000000"/>
                      <w:szCs w:val="21"/>
                    </w:rPr>
                    <w:t>60</w:t>
                  </w:r>
                </w:p>
              </w:tc>
              <w:tc>
                <w:tcPr>
                  <w:tcW w:w="709" w:type="dxa"/>
                  <w:vAlign w:val="center"/>
                </w:tcPr>
                <w:p>
                  <w:pPr>
                    <w:jc w:val="center"/>
                    <w:rPr>
                      <w:bCs/>
                      <w:color w:val="000000"/>
                      <w:szCs w:val="21"/>
                    </w:rPr>
                  </w:pPr>
                  <w:r>
                    <w:rPr>
                      <w:bCs/>
                      <w:color w:val="000000"/>
                      <w:szCs w:val="21"/>
                    </w:rPr>
                    <w:t>5</w:t>
                  </w:r>
                  <w:r>
                    <w:rPr>
                      <w:rFonts w:hint="eastAsia"/>
                      <w:bCs/>
                      <w:color w:val="000000"/>
                      <w:szCs w:val="21"/>
                    </w:rPr>
                    <w:t>8</w:t>
                  </w:r>
                </w:p>
              </w:tc>
              <w:tc>
                <w:tcPr>
                  <w:tcW w:w="766" w:type="dxa"/>
                  <w:vAlign w:val="center"/>
                </w:tcPr>
                <w:p>
                  <w:pPr>
                    <w:jc w:val="center"/>
                    <w:rPr>
                      <w:bCs/>
                      <w:color w:val="000000"/>
                      <w:szCs w:val="21"/>
                    </w:rPr>
                  </w:pPr>
                  <w:r>
                    <w:rPr>
                      <w:rFonts w:hint="eastAsia"/>
                      <w:bCs/>
                      <w:color w:val="000000"/>
                      <w:szCs w:val="21"/>
                    </w:rPr>
                    <w:t>54.5</w:t>
                  </w:r>
                </w:p>
              </w:tc>
              <w:tc>
                <w:tcPr>
                  <w:tcW w:w="708" w:type="dxa"/>
                  <w:vAlign w:val="center"/>
                </w:tcPr>
                <w:p>
                  <w:pPr>
                    <w:jc w:val="center"/>
                    <w:rPr>
                      <w:bCs/>
                      <w:color w:val="000000"/>
                      <w:szCs w:val="21"/>
                    </w:rPr>
                  </w:pPr>
                  <w:r>
                    <w:rPr>
                      <w:rFonts w:hint="eastAsia"/>
                      <w:bCs/>
                      <w:color w:val="000000"/>
                      <w:szCs w:val="21"/>
                    </w:rPr>
                    <w:t>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jc w:val="center"/>
                    <w:rPr>
                      <w:bCs/>
                      <w:color w:val="000000"/>
                      <w:szCs w:val="21"/>
                    </w:rPr>
                  </w:pPr>
                  <w:r>
                    <w:rPr>
                      <w:rFonts w:hint="eastAsia"/>
                      <w:bCs/>
                      <w:color w:val="000000"/>
                      <w:szCs w:val="21"/>
                    </w:rPr>
                    <w:t>运输车辆</w:t>
                  </w:r>
                </w:p>
              </w:tc>
              <w:tc>
                <w:tcPr>
                  <w:tcW w:w="793" w:type="dxa"/>
                  <w:vAlign w:val="center"/>
                </w:tcPr>
                <w:p>
                  <w:pPr>
                    <w:jc w:val="center"/>
                    <w:rPr>
                      <w:bCs/>
                      <w:color w:val="000000"/>
                      <w:szCs w:val="21"/>
                    </w:rPr>
                  </w:pPr>
                  <w:r>
                    <w:rPr>
                      <w:bCs/>
                      <w:color w:val="000000"/>
                      <w:szCs w:val="21"/>
                    </w:rPr>
                    <w:t>63.02</w:t>
                  </w:r>
                </w:p>
              </w:tc>
              <w:tc>
                <w:tcPr>
                  <w:tcW w:w="709" w:type="dxa"/>
                  <w:vAlign w:val="center"/>
                </w:tcPr>
                <w:p>
                  <w:pPr>
                    <w:jc w:val="center"/>
                    <w:rPr>
                      <w:bCs/>
                      <w:color w:val="000000"/>
                      <w:szCs w:val="21"/>
                    </w:rPr>
                  </w:pPr>
                  <w:r>
                    <w:rPr>
                      <w:bCs/>
                      <w:color w:val="000000"/>
                      <w:szCs w:val="21"/>
                    </w:rPr>
                    <w:t>57</w:t>
                  </w:r>
                </w:p>
              </w:tc>
              <w:tc>
                <w:tcPr>
                  <w:tcW w:w="709" w:type="dxa"/>
                  <w:vAlign w:val="center"/>
                </w:tcPr>
                <w:p>
                  <w:pPr>
                    <w:jc w:val="center"/>
                    <w:rPr>
                      <w:bCs/>
                      <w:color w:val="000000"/>
                      <w:szCs w:val="21"/>
                    </w:rPr>
                  </w:pPr>
                  <w:r>
                    <w:rPr>
                      <w:bCs/>
                      <w:color w:val="000000"/>
                      <w:szCs w:val="21"/>
                    </w:rPr>
                    <w:t>50.98</w:t>
                  </w:r>
                </w:p>
              </w:tc>
              <w:tc>
                <w:tcPr>
                  <w:tcW w:w="709" w:type="dxa"/>
                  <w:vAlign w:val="center"/>
                </w:tcPr>
                <w:p>
                  <w:pPr>
                    <w:jc w:val="center"/>
                    <w:rPr>
                      <w:bCs/>
                      <w:color w:val="000000"/>
                      <w:szCs w:val="21"/>
                    </w:rPr>
                  </w:pPr>
                  <w:r>
                    <w:rPr>
                      <w:bCs/>
                      <w:color w:val="000000"/>
                      <w:szCs w:val="21"/>
                    </w:rPr>
                    <w:t>44.96</w:t>
                  </w:r>
                </w:p>
              </w:tc>
              <w:tc>
                <w:tcPr>
                  <w:tcW w:w="708" w:type="dxa"/>
                  <w:vAlign w:val="center"/>
                </w:tcPr>
                <w:p>
                  <w:pPr>
                    <w:jc w:val="center"/>
                    <w:rPr>
                      <w:bCs/>
                      <w:color w:val="000000"/>
                      <w:szCs w:val="21"/>
                    </w:rPr>
                  </w:pPr>
                  <w:r>
                    <w:rPr>
                      <w:bCs/>
                      <w:color w:val="000000"/>
                      <w:szCs w:val="21"/>
                    </w:rPr>
                    <w:t>40.44</w:t>
                  </w:r>
                </w:p>
              </w:tc>
              <w:tc>
                <w:tcPr>
                  <w:tcW w:w="709" w:type="dxa"/>
                  <w:vAlign w:val="center"/>
                </w:tcPr>
                <w:p>
                  <w:pPr>
                    <w:jc w:val="center"/>
                    <w:rPr>
                      <w:bCs/>
                      <w:color w:val="000000"/>
                      <w:szCs w:val="21"/>
                    </w:rPr>
                  </w:pPr>
                  <w:r>
                    <w:rPr>
                      <w:bCs/>
                      <w:color w:val="000000"/>
                      <w:szCs w:val="21"/>
                    </w:rPr>
                    <w:t>38.94</w:t>
                  </w:r>
                </w:p>
              </w:tc>
              <w:tc>
                <w:tcPr>
                  <w:tcW w:w="709" w:type="dxa"/>
                  <w:vAlign w:val="center"/>
                </w:tcPr>
                <w:p>
                  <w:pPr>
                    <w:jc w:val="center"/>
                    <w:rPr>
                      <w:bCs/>
                      <w:color w:val="000000"/>
                      <w:szCs w:val="21"/>
                    </w:rPr>
                  </w:pPr>
                  <w:r>
                    <w:rPr>
                      <w:bCs/>
                      <w:color w:val="000000"/>
                      <w:szCs w:val="21"/>
                    </w:rPr>
                    <w:t>37</w:t>
                  </w:r>
                </w:p>
              </w:tc>
              <w:tc>
                <w:tcPr>
                  <w:tcW w:w="766" w:type="dxa"/>
                  <w:vAlign w:val="center"/>
                </w:tcPr>
                <w:p>
                  <w:pPr>
                    <w:jc w:val="center"/>
                    <w:rPr>
                      <w:bCs/>
                      <w:color w:val="000000"/>
                      <w:szCs w:val="21"/>
                    </w:rPr>
                  </w:pPr>
                  <w:r>
                    <w:rPr>
                      <w:bCs/>
                      <w:color w:val="000000"/>
                      <w:szCs w:val="21"/>
                    </w:rPr>
                    <w:t>33.48</w:t>
                  </w:r>
                </w:p>
              </w:tc>
              <w:tc>
                <w:tcPr>
                  <w:tcW w:w="708" w:type="dxa"/>
                  <w:vAlign w:val="center"/>
                </w:tcPr>
                <w:p>
                  <w:pPr>
                    <w:jc w:val="center"/>
                    <w:rPr>
                      <w:bCs/>
                      <w:color w:val="000000"/>
                      <w:szCs w:val="21"/>
                    </w:rPr>
                  </w:pPr>
                  <w:r>
                    <w:rPr>
                      <w:bCs/>
                      <w:color w:val="000000"/>
                      <w:szCs w:val="21"/>
                    </w:rPr>
                    <w:t>30.98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1771" w:type="dxa"/>
                  <w:vAlign w:val="center"/>
                </w:tcPr>
                <w:p>
                  <w:pPr>
                    <w:jc w:val="center"/>
                    <w:rPr>
                      <w:bCs/>
                      <w:color w:val="000000"/>
                      <w:szCs w:val="21"/>
                    </w:rPr>
                  </w:pPr>
                  <w:r>
                    <w:rPr>
                      <w:rFonts w:hint="eastAsia"/>
                      <w:bCs/>
                      <w:color w:val="000000"/>
                      <w:szCs w:val="21"/>
                    </w:rPr>
                    <w:t>移动式吊车</w:t>
                  </w:r>
                </w:p>
              </w:tc>
              <w:tc>
                <w:tcPr>
                  <w:tcW w:w="793" w:type="dxa"/>
                  <w:vAlign w:val="center"/>
                </w:tcPr>
                <w:p>
                  <w:pPr>
                    <w:jc w:val="center"/>
                    <w:rPr>
                      <w:bCs/>
                      <w:color w:val="000000"/>
                      <w:szCs w:val="21"/>
                    </w:rPr>
                  </w:pPr>
                  <w:r>
                    <w:rPr>
                      <w:bCs/>
                      <w:color w:val="000000"/>
                      <w:szCs w:val="21"/>
                    </w:rPr>
                    <w:t>68.02</w:t>
                  </w:r>
                </w:p>
              </w:tc>
              <w:tc>
                <w:tcPr>
                  <w:tcW w:w="709" w:type="dxa"/>
                  <w:vAlign w:val="center"/>
                </w:tcPr>
                <w:p>
                  <w:pPr>
                    <w:jc w:val="center"/>
                    <w:rPr>
                      <w:bCs/>
                      <w:color w:val="000000"/>
                      <w:szCs w:val="21"/>
                    </w:rPr>
                  </w:pPr>
                  <w:r>
                    <w:rPr>
                      <w:bCs/>
                      <w:color w:val="000000"/>
                      <w:szCs w:val="21"/>
                    </w:rPr>
                    <w:t>62</w:t>
                  </w:r>
                </w:p>
              </w:tc>
              <w:tc>
                <w:tcPr>
                  <w:tcW w:w="709" w:type="dxa"/>
                  <w:vAlign w:val="center"/>
                </w:tcPr>
                <w:p>
                  <w:pPr>
                    <w:jc w:val="center"/>
                    <w:rPr>
                      <w:bCs/>
                      <w:color w:val="000000"/>
                      <w:szCs w:val="21"/>
                    </w:rPr>
                  </w:pPr>
                  <w:r>
                    <w:rPr>
                      <w:bCs/>
                      <w:color w:val="000000"/>
                      <w:szCs w:val="21"/>
                    </w:rPr>
                    <w:t>55.98</w:t>
                  </w:r>
                </w:p>
              </w:tc>
              <w:tc>
                <w:tcPr>
                  <w:tcW w:w="709" w:type="dxa"/>
                  <w:vAlign w:val="center"/>
                </w:tcPr>
                <w:p>
                  <w:pPr>
                    <w:jc w:val="center"/>
                    <w:rPr>
                      <w:bCs/>
                      <w:color w:val="000000"/>
                      <w:szCs w:val="21"/>
                    </w:rPr>
                  </w:pPr>
                  <w:r>
                    <w:rPr>
                      <w:bCs/>
                      <w:color w:val="000000"/>
                      <w:szCs w:val="21"/>
                    </w:rPr>
                    <w:t>49.96</w:t>
                  </w:r>
                </w:p>
              </w:tc>
              <w:tc>
                <w:tcPr>
                  <w:tcW w:w="708" w:type="dxa"/>
                  <w:vAlign w:val="center"/>
                </w:tcPr>
                <w:p>
                  <w:pPr>
                    <w:jc w:val="center"/>
                    <w:rPr>
                      <w:bCs/>
                      <w:color w:val="000000"/>
                      <w:szCs w:val="21"/>
                    </w:rPr>
                  </w:pPr>
                  <w:r>
                    <w:rPr>
                      <w:bCs/>
                      <w:color w:val="000000"/>
                      <w:szCs w:val="21"/>
                    </w:rPr>
                    <w:t>45.44</w:t>
                  </w:r>
                </w:p>
              </w:tc>
              <w:tc>
                <w:tcPr>
                  <w:tcW w:w="709" w:type="dxa"/>
                  <w:vAlign w:val="center"/>
                </w:tcPr>
                <w:p>
                  <w:pPr>
                    <w:jc w:val="center"/>
                    <w:rPr>
                      <w:bCs/>
                      <w:color w:val="000000"/>
                      <w:szCs w:val="21"/>
                    </w:rPr>
                  </w:pPr>
                  <w:r>
                    <w:rPr>
                      <w:bCs/>
                      <w:color w:val="000000"/>
                      <w:szCs w:val="21"/>
                    </w:rPr>
                    <w:t>43.94</w:t>
                  </w:r>
                </w:p>
              </w:tc>
              <w:tc>
                <w:tcPr>
                  <w:tcW w:w="709" w:type="dxa"/>
                  <w:vAlign w:val="center"/>
                </w:tcPr>
                <w:p>
                  <w:pPr>
                    <w:jc w:val="center"/>
                    <w:rPr>
                      <w:bCs/>
                      <w:color w:val="000000"/>
                      <w:szCs w:val="21"/>
                    </w:rPr>
                  </w:pPr>
                  <w:r>
                    <w:rPr>
                      <w:bCs/>
                      <w:color w:val="000000"/>
                      <w:szCs w:val="21"/>
                    </w:rPr>
                    <w:t>42</w:t>
                  </w:r>
                </w:p>
              </w:tc>
              <w:tc>
                <w:tcPr>
                  <w:tcW w:w="766" w:type="dxa"/>
                  <w:vAlign w:val="center"/>
                </w:tcPr>
                <w:p>
                  <w:pPr>
                    <w:jc w:val="center"/>
                    <w:rPr>
                      <w:bCs/>
                      <w:color w:val="000000"/>
                      <w:szCs w:val="21"/>
                    </w:rPr>
                  </w:pPr>
                  <w:r>
                    <w:rPr>
                      <w:bCs/>
                      <w:color w:val="000000"/>
                      <w:szCs w:val="21"/>
                    </w:rPr>
                    <w:t>38.48</w:t>
                  </w:r>
                </w:p>
              </w:tc>
              <w:tc>
                <w:tcPr>
                  <w:tcW w:w="708" w:type="dxa"/>
                  <w:vAlign w:val="center"/>
                </w:tcPr>
                <w:p>
                  <w:pPr>
                    <w:jc w:val="center"/>
                    <w:rPr>
                      <w:bCs/>
                      <w:color w:val="000000"/>
                      <w:szCs w:val="21"/>
                    </w:rPr>
                  </w:pPr>
                  <w:r>
                    <w:rPr>
                      <w:bCs/>
                      <w:color w:val="000000"/>
                      <w:szCs w:val="21"/>
                    </w:rPr>
                    <w:t>35.98</w:t>
                  </w:r>
                </w:p>
              </w:tc>
            </w:tr>
          </w:tbl>
          <w:p>
            <w:pPr>
              <w:snapToGrid w:val="0"/>
              <w:spacing w:line="520" w:lineRule="exact"/>
              <w:ind w:firstLine="462" w:firstLineChars="200"/>
              <w:contextualSpacing/>
              <w:rPr>
                <w:color w:val="000000"/>
                <w:kern w:val="0"/>
                <w:sz w:val="24"/>
                <w:szCs w:val="24"/>
              </w:rPr>
            </w:pPr>
            <w:r>
              <w:rPr>
                <w:color w:val="000000"/>
                <w:kern w:val="0"/>
                <w:sz w:val="24"/>
                <w:szCs w:val="24"/>
              </w:rPr>
              <w:t>3）施工噪声影响范围计算和影响分析</w:t>
            </w:r>
          </w:p>
          <w:p>
            <w:pPr>
              <w:snapToGrid w:val="0"/>
              <w:spacing w:line="520" w:lineRule="exact"/>
              <w:ind w:firstLine="462" w:firstLineChars="200"/>
              <w:contextualSpacing/>
              <w:rPr>
                <w:color w:val="000000"/>
                <w:kern w:val="0"/>
                <w:sz w:val="24"/>
                <w:szCs w:val="24"/>
              </w:rPr>
            </w:pPr>
            <w:r>
              <w:rPr>
                <w:color w:val="000000"/>
                <w:kern w:val="0"/>
                <w:sz w:val="24"/>
                <w:szCs w:val="24"/>
              </w:rPr>
              <w:t>根据《建筑施工厂界环境噪声排放标准》（GB12523-2011）中的噪声限值标准及前述的公式，对施工过程中设备噪声影响范围进行计算，具体见表7-2。</w:t>
            </w:r>
          </w:p>
          <w:p>
            <w:pPr>
              <w:snapToGrid w:val="0"/>
              <w:spacing w:line="520" w:lineRule="exact"/>
              <w:contextualSpacing/>
              <w:jc w:val="center"/>
              <w:rPr>
                <w:b/>
                <w:bCs/>
                <w:color w:val="000000"/>
                <w:sz w:val="24"/>
                <w:szCs w:val="24"/>
              </w:rPr>
            </w:pPr>
            <w:r>
              <w:rPr>
                <w:b/>
                <w:bCs/>
                <w:color w:val="000000"/>
                <w:sz w:val="24"/>
                <w:szCs w:val="24"/>
              </w:rPr>
              <w:t>表7-2   施工设备施工噪声的影响范围</w:t>
            </w:r>
          </w:p>
          <w:tbl>
            <w:tblPr>
              <w:tblStyle w:val="19"/>
              <w:tblW w:w="844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79"/>
              <w:gridCol w:w="1525"/>
              <w:gridCol w:w="1527"/>
              <w:gridCol w:w="1678"/>
              <w:gridCol w:w="18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1879" w:type="dxa"/>
                  <w:vMerge w:val="restart"/>
                  <w:vAlign w:val="center"/>
                </w:tcPr>
                <w:p>
                  <w:pPr>
                    <w:snapToGrid w:val="0"/>
                    <w:contextualSpacing/>
                    <w:jc w:val="center"/>
                    <w:rPr>
                      <w:rFonts w:hAnsi="宋体"/>
                      <w:bCs/>
                      <w:color w:val="000000"/>
                      <w:szCs w:val="21"/>
                    </w:rPr>
                  </w:pPr>
                  <w:r>
                    <w:rPr>
                      <w:rFonts w:hint="eastAsia" w:hAnsi="宋体"/>
                      <w:bCs/>
                      <w:color w:val="000000"/>
                      <w:szCs w:val="21"/>
                    </w:rPr>
                    <w:t>设备名称</w:t>
                  </w:r>
                </w:p>
              </w:tc>
              <w:tc>
                <w:tcPr>
                  <w:tcW w:w="3052" w:type="dxa"/>
                  <w:gridSpan w:val="2"/>
                  <w:vAlign w:val="center"/>
                </w:tcPr>
                <w:p>
                  <w:pPr>
                    <w:snapToGrid w:val="0"/>
                    <w:contextualSpacing/>
                    <w:jc w:val="center"/>
                    <w:rPr>
                      <w:rFonts w:hAnsi="宋体"/>
                      <w:bCs/>
                      <w:color w:val="000000"/>
                      <w:szCs w:val="21"/>
                    </w:rPr>
                  </w:pPr>
                  <w:r>
                    <w:rPr>
                      <w:rFonts w:hint="eastAsia" w:hAnsi="宋体"/>
                      <w:bCs/>
                      <w:color w:val="000000"/>
                      <w:szCs w:val="21"/>
                    </w:rPr>
                    <w:t>达标限值dB（A）</w:t>
                  </w:r>
                </w:p>
              </w:tc>
              <w:tc>
                <w:tcPr>
                  <w:tcW w:w="3509" w:type="dxa"/>
                  <w:gridSpan w:val="2"/>
                  <w:vAlign w:val="center"/>
                </w:tcPr>
                <w:p>
                  <w:pPr>
                    <w:snapToGrid w:val="0"/>
                    <w:contextualSpacing/>
                    <w:jc w:val="center"/>
                    <w:rPr>
                      <w:rFonts w:hAnsi="宋体"/>
                      <w:bCs/>
                      <w:color w:val="000000"/>
                      <w:szCs w:val="21"/>
                    </w:rPr>
                  </w:pPr>
                  <w:r>
                    <w:rPr>
                      <w:rFonts w:hint="eastAsia" w:hAnsi="宋体"/>
                      <w:bCs/>
                      <w:color w:val="000000"/>
                      <w:szCs w:val="21"/>
                    </w:rPr>
                    <w:t>影响范围（m）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8" w:hRule="atLeast"/>
                <w:jc w:val="center"/>
              </w:trPr>
              <w:tc>
                <w:tcPr>
                  <w:tcW w:w="1879" w:type="dxa"/>
                  <w:vMerge w:val="continue"/>
                  <w:vAlign w:val="center"/>
                </w:tcPr>
                <w:p>
                  <w:pPr>
                    <w:snapToGrid w:val="0"/>
                    <w:contextualSpacing/>
                    <w:jc w:val="center"/>
                    <w:rPr>
                      <w:rFonts w:hAnsi="宋体"/>
                      <w:bCs/>
                      <w:color w:val="000000"/>
                      <w:szCs w:val="21"/>
                    </w:rPr>
                  </w:pPr>
                </w:p>
              </w:tc>
              <w:tc>
                <w:tcPr>
                  <w:tcW w:w="1525" w:type="dxa"/>
                  <w:vAlign w:val="center"/>
                </w:tcPr>
                <w:p>
                  <w:pPr>
                    <w:snapToGrid w:val="0"/>
                    <w:contextualSpacing/>
                    <w:jc w:val="center"/>
                    <w:rPr>
                      <w:rFonts w:hAnsi="宋体"/>
                      <w:bCs/>
                      <w:color w:val="000000"/>
                      <w:szCs w:val="21"/>
                    </w:rPr>
                  </w:pPr>
                  <w:r>
                    <w:rPr>
                      <w:rFonts w:hint="eastAsia" w:hAnsi="宋体"/>
                      <w:bCs/>
                      <w:color w:val="000000"/>
                      <w:szCs w:val="21"/>
                    </w:rPr>
                    <w:t>昼间</w:t>
                  </w:r>
                </w:p>
              </w:tc>
              <w:tc>
                <w:tcPr>
                  <w:tcW w:w="1527" w:type="dxa"/>
                  <w:vAlign w:val="center"/>
                </w:tcPr>
                <w:p>
                  <w:pPr>
                    <w:snapToGrid w:val="0"/>
                    <w:contextualSpacing/>
                    <w:jc w:val="center"/>
                    <w:rPr>
                      <w:rFonts w:hAnsi="宋体"/>
                      <w:bCs/>
                      <w:color w:val="000000"/>
                      <w:szCs w:val="21"/>
                    </w:rPr>
                  </w:pPr>
                  <w:r>
                    <w:rPr>
                      <w:rFonts w:hint="eastAsia" w:hAnsi="宋体"/>
                      <w:bCs/>
                      <w:color w:val="000000"/>
                      <w:szCs w:val="21"/>
                    </w:rPr>
                    <w:t>夜间</w:t>
                  </w:r>
                </w:p>
              </w:tc>
              <w:tc>
                <w:tcPr>
                  <w:tcW w:w="1678" w:type="dxa"/>
                  <w:vAlign w:val="center"/>
                </w:tcPr>
                <w:p>
                  <w:pPr>
                    <w:snapToGrid w:val="0"/>
                    <w:contextualSpacing/>
                    <w:jc w:val="center"/>
                    <w:rPr>
                      <w:rFonts w:hAnsi="宋体"/>
                      <w:bCs/>
                      <w:color w:val="000000"/>
                      <w:szCs w:val="21"/>
                    </w:rPr>
                  </w:pPr>
                  <w:r>
                    <w:rPr>
                      <w:rFonts w:hint="eastAsia" w:hAnsi="宋体"/>
                      <w:bCs/>
                      <w:color w:val="000000"/>
                      <w:szCs w:val="21"/>
                    </w:rPr>
                    <w:t>昼间</w:t>
                  </w:r>
                </w:p>
              </w:tc>
              <w:tc>
                <w:tcPr>
                  <w:tcW w:w="1831" w:type="dxa"/>
                  <w:vAlign w:val="center"/>
                </w:tcPr>
                <w:p>
                  <w:pPr>
                    <w:snapToGrid w:val="0"/>
                    <w:contextualSpacing/>
                    <w:jc w:val="center"/>
                    <w:rPr>
                      <w:rFonts w:hAnsi="宋体"/>
                      <w:bCs/>
                      <w:color w:val="000000"/>
                      <w:szCs w:val="21"/>
                    </w:rPr>
                  </w:pPr>
                  <w:r>
                    <w:rPr>
                      <w:rFonts w:hint="eastAsia" w:hAnsi="宋体"/>
                      <w:bCs/>
                      <w:color w:val="000000"/>
                      <w:szCs w:val="21"/>
                    </w:rPr>
                    <w:t>夜间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8" w:hRule="atLeast"/>
                <w:jc w:val="center"/>
              </w:trPr>
              <w:tc>
                <w:tcPr>
                  <w:tcW w:w="1879" w:type="dxa"/>
                  <w:vAlign w:val="center"/>
                </w:tcPr>
                <w:p>
                  <w:pPr>
                    <w:jc w:val="center"/>
                    <w:rPr>
                      <w:bCs/>
                      <w:color w:val="000000"/>
                      <w:szCs w:val="21"/>
                    </w:rPr>
                  </w:pPr>
                  <w:r>
                    <w:rPr>
                      <w:rFonts w:hint="eastAsia"/>
                      <w:bCs/>
                      <w:color w:val="000000"/>
                      <w:szCs w:val="21"/>
                    </w:rPr>
                    <w:t>装载机</w:t>
                  </w:r>
                </w:p>
              </w:tc>
              <w:tc>
                <w:tcPr>
                  <w:tcW w:w="1525" w:type="dxa"/>
                  <w:vMerge w:val="restart"/>
                  <w:vAlign w:val="center"/>
                </w:tcPr>
                <w:p>
                  <w:pPr>
                    <w:snapToGrid w:val="0"/>
                    <w:contextualSpacing/>
                    <w:jc w:val="center"/>
                    <w:rPr>
                      <w:rFonts w:hAnsi="宋体"/>
                      <w:bCs/>
                      <w:color w:val="000000"/>
                      <w:szCs w:val="21"/>
                    </w:rPr>
                  </w:pPr>
                  <w:r>
                    <w:rPr>
                      <w:rFonts w:hint="eastAsia" w:hAnsi="宋体"/>
                      <w:bCs/>
                      <w:color w:val="000000"/>
                      <w:szCs w:val="21"/>
                    </w:rPr>
                    <w:t>70</w:t>
                  </w:r>
                </w:p>
              </w:tc>
              <w:tc>
                <w:tcPr>
                  <w:tcW w:w="1527" w:type="dxa"/>
                  <w:vMerge w:val="restart"/>
                  <w:vAlign w:val="center"/>
                </w:tcPr>
                <w:p>
                  <w:pPr>
                    <w:snapToGrid w:val="0"/>
                    <w:contextualSpacing/>
                    <w:jc w:val="center"/>
                    <w:rPr>
                      <w:rFonts w:hAnsi="宋体"/>
                      <w:bCs/>
                      <w:color w:val="000000"/>
                      <w:szCs w:val="21"/>
                    </w:rPr>
                  </w:pPr>
                  <w:r>
                    <w:rPr>
                      <w:rFonts w:hint="eastAsia" w:hAnsi="宋体"/>
                      <w:bCs/>
                      <w:color w:val="000000"/>
                      <w:szCs w:val="21"/>
                    </w:rPr>
                    <w:t>55</w:t>
                  </w:r>
                </w:p>
              </w:tc>
              <w:tc>
                <w:tcPr>
                  <w:tcW w:w="1678" w:type="dxa"/>
                  <w:vAlign w:val="center"/>
                </w:tcPr>
                <w:p>
                  <w:pPr>
                    <w:snapToGrid w:val="0"/>
                    <w:contextualSpacing/>
                    <w:jc w:val="center"/>
                    <w:rPr>
                      <w:rFonts w:hAnsi="宋体"/>
                      <w:bCs/>
                      <w:color w:val="000000"/>
                      <w:szCs w:val="21"/>
                    </w:rPr>
                  </w:pPr>
                  <w:r>
                    <w:rPr>
                      <w:rFonts w:hint="eastAsia" w:hAnsi="宋体"/>
                      <w:bCs/>
                      <w:color w:val="000000"/>
                      <w:szCs w:val="21"/>
                    </w:rPr>
                    <w:t>50.0</w:t>
                  </w:r>
                </w:p>
              </w:tc>
              <w:tc>
                <w:tcPr>
                  <w:tcW w:w="1831" w:type="dxa"/>
                  <w:vAlign w:val="center"/>
                </w:tcPr>
                <w:p>
                  <w:pPr>
                    <w:snapToGrid w:val="0"/>
                    <w:contextualSpacing/>
                    <w:jc w:val="center"/>
                    <w:rPr>
                      <w:rFonts w:hAnsi="宋体"/>
                      <w:bCs/>
                      <w:color w:val="000000"/>
                      <w:szCs w:val="21"/>
                    </w:rPr>
                  </w:pPr>
                  <w:r>
                    <w:rPr>
                      <w:rFonts w:hint="eastAsia" w:hAnsi="宋体"/>
                      <w:bCs/>
                      <w:color w:val="000000"/>
                      <w:szCs w:val="21"/>
                    </w:rPr>
                    <w:t>210.8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3" w:hRule="atLeast"/>
                <w:jc w:val="center"/>
              </w:trPr>
              <w:tc>
                <w:tcPr>
                  <w:tcW w:w="1879" w:type="dxa"/>
                  <w:vAlign w:val="center"/>
                </w:tcPr>
                <w:p>
                  <w:pPr>
                    <w:jc w:val="center"/>
                    <w:rPr>
                      <w:bCs/>
                      <w:color w:val="000000"/>
                      <w:szCs w:val="21"/>
                    </w:rPr>
                  </w:pPr>
                  <w:r>
                    <w:rPr>
                      <w:rFonts w:hint="eastAsia"/>
                      <w:bCs/>
                      <w:color w:val="000000"/>
                      <w:szCs w:val="21"/>
                    </w:rPr>
                    <w:t>推土机</w:t>
                  </w:r>
                </w:p>
              </w:tc>
              <w:tc>
                <w:tcPr>
                  <w:tcW w:w="1525" w:type="dxa"/>
                  <w:vMerge w:val="continue"/>
                  <w:vAlign w:val="center"/>
                </w:tcPr>
                <w:p>
                  <w:pPr>
                    <w:snapToGrid w:val="0"/>
                    <w:contextualSpacing/>
                    <w:jc w:val="center"/>
                    <w:rPr>
                      <w:rFonts w:hAnsi="宋体"/>
                      <w:bCs/>
                      <w:color w:val="000000"/>
                      <w:szCs w:val="21"/>
                    </w:rPr>
                  </w:pPr>
                </w:p>
              </w:tc>
              <w:tc>
                <w:tcPr>
                  <w:tcW w:w="1527" w:type="dxa"/>
                  <w:vMerge w:val="continue"/>
                  <w:vAlign w:val="center"/>
                </w:tcPr>
                <w:p>
                  <w:pPr>
                    <w:snapToGrid w:val="0"/>
                    <w:contextualSpacing/>
                    <w:jc w:val="center"/>
                    <w:rPr>
                      <w:rFonts w:hAnsi="宋体"/>
                      <w:bCs/>
                      <w:color w:val="000000"/>
                      <w:szCs w:val="21"/>
                    </w:rPr>
                  </w:pPr>
                </w:p>
              </w:tc>
              <w:tc>
                <w:tcPr>
                  <w:tcW w:w="1678" w:type="dxa"/>
                  <w:vAlign w:val="center"/>
                </w:tcPr>
                <w:p>
                  <w:pPr>
                    <w:snapToGrid w:val="0"/>
                    <w:contextualSpacing/>
                    <w:jc w:val="center"/>
                    <w:rPr>
                      <w:rFonts w:hAnsi="宋体"/>
                      <w:bCs/>
                      <w:color w:val="000000"/>
                      <w:szCs w:val="21"/>
                    </w:rPr>
                  </w:pPr>
                  <w:r>
                    <w:rPr>
                      <w:rFonts w:hint="eastAsia" w:hAnsi="宋体"/>
                      <w:bCs/>
                      <w:color w:val="000000"/>
                      <w:szCs w:val="21"/>
                    </w:rPr>
                    <w:t>31.54</w:t>
                  </w:r>
                </w:p>
              </w:tc>
              <w:tc>
                <w:tcPr>
                  <w:tcW w:w="1831" w:type="dxa"/>
                  <w:vAlign w:val="center"/>
                </w:tcPr>
                <w:p>
                  <w:pPr>
                    <w:snapToGrid w:val="0"/>
                    <w:contextualSpacing/>
                    <w:jc w:val="center"/>
                    <w:rPr>
                      <w:rFonts w:hAnsi="宋体"/>
                      <w:bCs/>
                      <w:color w:val="000000"/>
                      <w:szCs w:val="21"/>
                    </w:rPr>
                  </w:pPr>
                  <w:r>
                    <w:rPr>
                      <w:rFonts w:hint="eastAsia" w:hAnsi="宋体"/>
                      <w:bCs/>
                      <w:color w:val="000000"/>
                      <w:szCs w:val="21"/>
                    </w:rPr>
                    <w:t>177.4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49" w:hRule="atLeast"/>
                <w:jc w:val="center"/>
              </w:trPr>
              <w:tc>
                <w:tcPr>
                  <w:tcW w:w="1879" w:type="dxa"/>
                  <w:vAlign w:val="center"/>
                </w:tcPr>
                <w:p>
                  <w:pPr>
                    <w:jc w:val="center"/>
                    <w:rPr>
                      <w:bCs/>
                      <w:color w:val="000000"/>
                      <w:szCs w:val="21"/>
                    </w:rPr>
                  </w:pPr>
                  <w:r>
                    <w:rPr>
                      <w:rFonts w:hint="eastAsia"/>
                      <w:bCs/>
                      <w:color w:val="000000"/>
                      <w:szCs w:val="21"/>
                    </w:rPr>
                    <w:t>挖掘机</w:t>
                  </w:r>
                </w:p>
              </w:tc>
              <w:tc>
                <w:tcPr>
                  <w:tcW w:w="1525" w:type="dxa"/>
                  <w:vMerge w:val="continue"/>
                  <w:vAlign w:val="center"/>
                </w:tcPr>
                <w:p>
                  <w:pPr>
                    <w:snapToGrid w:val="0"/>
                    <w:contextualSpacing/>
                    <w:jc w:val="center"/>
                    <w:rPr>
                      <w:rFonts w:hAnsi="宋体"/>
                      <w:bCs/>
                      <w:color w:val="000000"/>
                      <w:szCs w:val="21"/>
                    </w:rPr>
                  </w:pPr>
                </w:p>
              </w:tc>
              <w:tc>
                <w:tcPr>
                  <w:tcW w:w="1527" w:type="dxa"/>
                  <w:vMerge w:val="continue"/>
                  <w:vAlign w:val="center"/>
                </w:tcPr>
                <w:p>
                  <w:pPr>
                    <w:snapToGrid w:val="0"/>
                    <w:contextualSpacing/>
                    <w:jc w:val="center"/>
                    <w:rPr>
                      <w:rFonts w:hAnsi="宋体"/>
                      <w:bCs/>
                      <w:color w:val="000000"/>
                      <w:szCs w:val="21"/>
                    </w:rPr>
                  </w:pPr>
                </w:p>
              </w:tc>
              <w:tc>
                <w:tcPr>
                  <w:tcW w:w="1678" w:type="dxa"/>
                  <w:vAlign w:val="center"/>
                </w:tcPr>
                <w:p>
                  <w:pPr>
                    <w:snapToGrid w:val="0"/>
                    <w:contextualSpacing/>
                    <w:jc w:val="center"/>
                    <w:rPr>
                      <w:rFonts w:hAnsi="宋体"/>
                      <w:bCs/>
                      <w:color w:val="000000"/>
                      <w:szCs w:val="21"/>
                    </w:rPr>
                  </w:pPr>
                  <w:r>
                    <w:rPr>
                      <w:rFonts w:hint="eastAsia" w:hAnsi="宋体"/>
                      <w:bCs/>
                      <w:color w:val="000000"/>
                      <w:szCs w:val="21"/>
                    </w:rPr>
                    <w:t>25.1</w:t>
                  </w:r>
                </w:p>
              </w:tc>
              <w:tc>
                <w:tcPr>
                  <w:tcW w:w="1831" w:type="dxa"/>
                  <w:vAlign w:val="center"/>
                </w:tcPr>
                <w:p>
                  <w:pPr>
                    <w:snapToGrid w:val="0"/>
                    <w:contextualSpacing/>
                    <w:jc w:val="center"/>
                    <w:rPr>
                      <w:rFonts w:hAnsi="宋体"/>
                      <w:bCs/>
                      <w:color w:val="000000"/>
                      <w:szCs w:val="21"/>
                    </w:rPr>
                  </w:pPr>
                  <w:r>
                    <w:rPr>
                      <w:rFonts w:hint="eastAsia" w:hAnsi="宋体"/>
                      <w:bCs/>
                      <w:color w:val="000000"/>
                      <w:szCs w:val="21"/>
                    </w:rPr>
                    <w:t>140.9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1879" w:type="dxa"/>
                  <w:vAlign w:val="center"/>
                </w:tcPr>
                <w:p>
                  <w:pPr>
                    <w:snapToGrid w:val="0"/>
                    <w:contextualSpacing/>
                    <w:jc w:val="center"/>
                    <w:rPr>
                      <w:rFonts w:hAnsi="宋体"/>
                      <w:bCs/>
                      <w:color w:val="000000"/>
                      <w:szCs w:val="21"/>
                    </w:rPr>
                  </w:pPr>
                  <w:r>
                    <w:rPr>
                      <w:rFonts w:hint="eastAsia" w:hAnsi="宋体"/>
                      <w:bCs/>
                      <w:color w:val="000000"/>
                      <w:szCs w:val="21"/>
                    </w:rPr>
                    <w:t>移动式吊车</w:t>
                  </w:r>
                </w:p>
              </w:tc>
              <w:tc>
                <w:tcPr>
                  <w:tcW w:w="1525" w:type="dxa"/>
                  <w:vMerge w:val="continue"/>
                  <w:vAlign w:val="center"/>
                </w:tcPr>
                <w:p>
                  <w:pPr>
                    <w:snapToGrid w:val="0"/>
                    <w:contextualSpacing/>
                    <w:jc w:val="center"/>
                    <w:rPr>
                      <w:rFonts w:hAnsi="宋体"/>
                      <w:bCs/>
                      <w:color w:val="000000"/>
                      <w:szCs w:val="21"/>
                    </w:rPr>
                  </w:pPr>
                </w:p>
              </w:tc>
              <w:tc>
                <w:tcPr>
                  <w:tcW w:w="1527" w:type="dxa"/>
                  <w:vMerge w:val="continue"/>
                  <w:vAlign w:val="center"/>
                </w:tcPr>
                <w:p>
                  <w:pPr>
                    <w:snapToGrid w:val="0"/>
                    <w:contextualSpacing/>
                    <w:jc w:val="center"/>
                    <w:rPr>
                      <w:rFonts w:hAnsi="宋体"/>
                      <w:bCs/>
                      <w:color w:val="000000"/>
                      <w:szCs w:val="21"/>
                    </w:rPr>
                  </w:pPr>
                </w:p>
              </w:tc>
              <w:tc>
                <w:tcPr>
                  <w:tcW w:w="1678" w:type="dxa"/>
                  <w:vAlign w:val="center"/>
                </w:tcPr>
                <w:p>
                  <w:pPr>
                    <w:snapToGrid w:val="0"/>
                    <w:contextualSpacing/>
                    <w:jc w:val="center"/>
                    <w:rPr>
                      <w:rFonts w:hAnsi="宋体"/>
                      <w:bCs/>
                      <w:color w:val="000000"/>
                      <w:szCs w:val="21"/>
                    </w:rPr>
                  </w:pPr>
                  <w:r>
                    <w:rPr>
                      <w:rFonts w:hint="eastAsia" w:hAnsi="宋体"/>
                      <w:bCs/>
                      <w:color w:val="000000"/>
                      <w:szCs w:val="21"/>
                    </w:rPr>
                    <w:t>4</w:t>
                  </w:r>
                </w:p>
              </w:tc>
              <w:tc>
                <w:tcPr>
                  <w:tcW w:w="1831" w:type="dxa"/>
                  <w:vAlign w:val="center"/>
                </w:tcPr>
                <w:p>
                  <w:pPr>
                    <w:snapToGrid w:val="0"/>
                    <w:contextualSpacing/>
                    <w:jc w:val="center"/>
                    <w:rPr>
                      <w:rFonts w:hAnsi="宋体"/>
                      <w:bCs/>
                      <w:color w:val="000000"/>
                      <w:szCs w:val="21"/>
                    </w:rPr>
                  </w:pPr>
                  <w:r>
                    <w:rPr>
                      <w:rFonts w:hint="eastAsia" w:hAnsi="宋体"/>
                      <w:bCs/>
                      <w:color w:val="000000"/>
                      <w:szCs w:val="21"/>
                    </w:rPr>
                    <w:t>24</w:t>
                  </w:r>
                </w:p>
              </w:tc>
            </w:tr>
          </w:tbl>
          <w:p>
            <w:pPr>
              <w:snapToGrid w:val="0"/>
              <w:spacing w:line="520" w:lineRule="exact"/>
              <w:ind w:firstLine="462" w:firstLineChars="200"/>
              <w:contextualSpacing/>
              <w:rPr>
                <w:color w:val="000000"/>
                <w:kern w:val="0"/>
                <w:sz w:val="24"/>
                <w:szCs w:val="24"/>
              </w:rPr>
            </w:pPr>
            <w:r>
              <w:rPr>
                <w:color w:val="000000"/>
                <w:kern w:val="0"/>
                <w:sz w:val="24"/>
                <w:szCs w:val="24"/>
              </w:rPr>
              <w:t>施工噪声将对沿线声环境质量产生一定的影响，这种噪声影响白天将主要出现在离施工场地50m以内，夜间将扩大到距施工场地210.8m范围内（本项目不进行夜间施工）。</w:t>
            </w:r>
          </w:p>
          <w:p>
            <w:pPr>
              <w:snapToGrid w:val="0"/>
              <w:spacing w:line="520" w:lineRule="exact"/>
              <w:ind w:firstLine="462" w:firstLineChars="200"/>
              <w:contextualSpacing/>
              <w:rPr>
                <w:color w:val="000000"/>
                <w:kern w:val="0"/>
                <w:sz w:val="24"/>
                <w:szCs w:val="24"/>
              </w:rPr>
            </w:pPr>
            <w:r>
              <w:rPr>
                <w:color w:val="000000"/>
                <w:kern w:val="0"/>
                <w:sz w:val="24"/>
                <w:szCs w:val="24"/>
              </w:rPr>
              <w:t>在实际施工过程中可能出现多台机械同时在一起作业，则此时的施工噪声影响的范围比预测值还要大，影响的范围还要广，因而场界施工噪声可能达不到相应标准。其噪声超标量与影响范围将随着使用的设备种类及数量、施工过程的不同而出现波动。</w:t>
            </w:r>
          </w:p>
          <w:p>
            <w:pPr>
              <w:snapToGrid w:val="0"/>
              <w:spacing w:line="520" w:lineRule="exact"/>
              <w:ind w:firstLine="462" w:firstLineChars="200"/>
              <w:contextualSpacing/>
              <w:rPr>
                <w:color w:val="000000"/>
                <w:kern w:val="0"/>
                <w:sz w:val="24"/>
                <w:szCs w:val="24"/>
              </w:rPr>
            </w:pPr>
            <w:r>
              <w:rPr>
                <w:color w:val="000000"/>
                <w:kern w:val="0"/>
                <w:sz w:val="24"/>
                <w:szCs w:val="24"/>
              </w:rPr>
              <w:t>项目管网沿线环境敏感点较多，且距离项目最近的声环境敏感目标为沿线的居民（距离道路约10m），因此施工过程如不采取相关措施，对其生活可能造成一定影响。</w:t>
            </w:r>
          </w:p>
          <w:p>
            <w:pPr>
              <w:snapToGrid w:val="0"/>
              <w:spacing w:line="520" w:lineRule="exact"/>
              <w:ind w:firstLine="462" w:firstLineChars="200"/>
              <w:contextualSpacing/>
              <w:rPr>
                <w:color w:val="000000"/>
                <w:kern w:val="0"/>
                <w:sz w:val="24"/>
                <w:szCs w:val="24"/>
              </w:rPr>
            </w:pPr>
            <w:r>
              <w:rPr>
                <w:color w:val="000000"/>
                <w:kern w:val="0"/>
                <w:sz w:val="24"/>
                <w:szCs w:val="24"/>
              </w:rPr>
              <w:t>4）施工噪声污染防治措施</w:t>
            </w:r>
          </w:p>
          <w:p>
            <w:pPr>
              <w:snapToGrid w:val="0"/>
              <w:spacing w:line="520" w:lineRule="exact"/>
              <w:ind w:firstLine="462" w:firstLineChars="200"/>
              <w:contextualSpacing/>
              <w:rPr>
                <w:color w:val="000000"/>
                <w:kern w:val="0"/>
                <w:sz w:val="24"/>
                <w:szCs w:val="24"/>
              </w:rPr>
            </w:pPr>
            <w:r>
              <w:rPr>
                <w:color w:val="000000"/>
                <w:kern w:val="0"/>
                <w:sz w:val="24"/>
                <w:szCs w:val="24"/>
              </w:rPr>
              <w:t>为了减轻施工期噪声对项目</w:t>
            </w:r>
            <w:r>
              <w:rPr>
                <w:rFonts w:hint="eastAsia"/>
                <w:color w:val="000000"/>
                <w:kern w:val="0"/>
                <w:sz w:val="24"/>
                <w:szCs w:val="24"/>
              </w:rPr>
              <w:t>附近居民及声环境产生的影响</w:t>
            </w:r>
            <w:r>
              <w:rPr>
                <w:color w:val="000000"/>
                <w:kern w:val="0"/>
                <w:sz w:val="24"/>
                <w:szCs w:val="24"/>
              </w:rPr>
              <w:t>，本环评建议采取以下防治措施。</w:t>
            </w:r>
          </w:p>
          <w:p>
            <w:pPr>
              <w:snapToGrid w:val="0"/>
              <w:spacing w:line="520" w:lineRule="exact"/>
              <w:ind w:firstLine="462" w:firstLineChars="200"/>
              <w:contextualSpacing/>
              <w:rPr>
                <w:color w:val="000000"/>
                <w:kern w:val="0"/>
                <w:sz w:val="24"/>
                <w:szCs w:val="24"/>
              </w:rPr>
            </w:pPr>
            <w:r>
              <w:rPr>
                <w:color w:val="000000"/>
                <w:kern w:val="0"/>
                <w:sz w:val="24"/>
                <w:szCs w:val="24"/>
              </w:rPr>
              <w:t>a 合理安排时间：避免高噪声设备同时施工，噪声大的施工机械在白天12:00～14:00、夜间22</w:t>
            </w:r>
            <w:r>
              <w:rPr>
                <w:rFonts w:hint="eastAsia" w:ascii="宋体" w:hAnsi="宋体" w:cs="宋体"/>
                <w:color w:val="000000"/>
                <w:kern w:val="0"/>
                <w:sz w:val="24"/>
                <w:szCs w:val="24"/>
              </w:rPr>
              <w:t>∶</w:t>
            </w:r>
            <w:r>
              <w:rPr>
                <w:color w:val="000000"/>
                <w:kern w:val="0"/>
                <w:sz w:val="24"/>
                <w:szCs w:val="24"/>
              </w:rPr>
              <w:t>00～次日06</w:t>
            </w:r>
            <w:r>
              <w:rPr>
                <w:rFonts w:hint="eastAsia" w:ascii="宋体" w:hAnsi="宋体" w:cs="宋体"/>
                <w:color w:val="000000"/>
                <w:kern w:val="0"/>
                <w:sz w:val="24"/>
                <w:szCs w:val="24"/>
              </w:rPr>
              <w:t>∶</w:t>
            </w:r>
            <w:r>
              <w:rPr>
                <w:color w:val="000000"/>
                <w:kern w:val="0"/>
                <w:sz w:val="24"/>
                <w:szCs w:val="24"/>
              </w:rPr>
              <w:t>00 停止施工。</w:t>
            </w:r>
          </w:p>
          <w:p>
            <w:pPr>
              <w:snapToGrid w:val="0"/>
              <w:spacing w:line="520" w:lineRule="exact"/>
              <w:ind w:firstLine="462" w:firstLineChars="200"/>
              <w:contextualSpacing/>
              <w:rPr>
                <w:color w:val="000000"/>
                <w:kern w:val="0"/>
                <w:sz w:val="24"/>
                <w:szCs w:val="24"/>
              </w:rPr>
            </w:pPr>
            <w:r>
              <w:rPr>
                <w:color w:val="000000"/>
                <w:kern w:val="0"/>
                <w:sz w:val="24"/>
                <w:szCs w:val="24"/>
              </w:rPr>
              <w:t>b 合理布局现场：使局部声级过高，噪声较大的设备尽量远离有居民住宅。</w:t>
            </w:r>
          </w:p>
          <w:p>
            <w:pPr>
              <w:snapToGrid w:val="0"/>
              <w:spacing w:line="520" w:lineRule="exact"/>
              <w:ind w:firstLine="462" w:firstLineChars="200"/>
              <w:contextualSpacing/>
              <w:rPr>
                <w:color w:val="000000"/>
                <w:kern w:val="0"/>
                <w:sz w:val="24"/>
                <w:szCs w:val="24"/>
              </w:rPr>
            </w:pPr>
            <w:r>
              <w:rPr>
                <w:color w:val="000000"/>
                <w:kern w:val="0"/>
                <w:sz w:val="24"/>
                <w:szCs w:val="24"/>
              </w:rPr>
              <w:t>c 降低设备声级：选用低噪声设备，加强检查、维护和保养机械设备，保持润滑，紧固各部件，并与地面保持良好接触，使用减振机座、围挡等措施，降低噪声。对设备定期保养，严格操作规范。</w:t>
            </w:r>
          </w:p>
          <w:p>
            <w:pPr>
              <w:snapToGrid w:val="0"/>
              <w:spacing w:line="520" w:lineRule="exact"/>
              <w:ind w:firstLine="462" w:firstLineChars="200"/>
              <w:contextualSpacing/>
              <w:rPr>
                <w:color w:val="000000"/>
                <w:kern w:val="0"/>
                <w:sz w:val="24"/>
                <w:szCs w:val="24"/>
              </w:rPr>
            </w:pPr>
            <w:r>
              <w:rPr>
                <w:color w:val="000000"/>
                <w:kern w:val="0"/>
                <w:sz w:val="24"/>
                <w:szCs w:val="24"/>
              </w:rPr>
              <w:t>d 设置隔声屏障：在距离居民区较近一侧设置隔声屏障、物料堆场周围设置的临时围挡防护物也可在一定程度上起到隔声作用。</w:t>
            </w:r>
          </w:p>
          <w:p>
            <w:pPr>
              <w:snapToGrid w:val="0"/>
              <w:spacing w:line="520" w:lineRule="exact"/>
              <w:ind w:firstLine="462" w:firstLineChars="200"/>
              <w:contextualSpacing/>
              <w:rPr>
                <w:color w:val="000000"/>
                <w:kern w:val="0"/>
                <w:sz w:val="24"/>
                <w:szCs w:val="24"/>
              </w:rPr>
            </w:pPr>
            <w:r>
              <w:rPr>
                <w:color w:val="000000"/>
                <w:kern w:val="0"/>
                <w:sz w:val="24"/>
                <w:szCs w:val="24"/>
              </w:rPr>
              <w:t>e 做到文明施工：建筑材料使用和施工过程中做到轻拿轻放，以减少撞击噪声。</w:t>
            </w:r>
          </w:p>
          <w:p>
            <w:pPr>
              <w:snapToGrid w:val="0"/>
              <w:spacing w:line="520" w:lineRule="exact"/>
              <w:ind w:firstLine="462" w:firstLineChars="200"/>
              <w:contextualSpacing/>
              <w:rPr>
                <w:color w:val="000000"/>
                <w:kern w:val="0"/>
                <w:sz w:val="24"/>
                <w:szCs w:val="24"/>
              </w:rPr>
            </w:pPr>
            <w:r>
              <w:rPr>
                <w:color w:val="000000"/>
                <w:kern w:val="0"/>
                <w:sz w:val="24"/>
                <w:szCs w:val="24"/>
              </w:rPr>
              <w:t>f 减少施工交通噪声：对运输车辆定期维修、养护，减少或杜绝鸣笛，合理安排运输路线。</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g尽量避免夜间施工，如需夜间施工提前张贴公示，取得周围居民的理解。并向当地环保部门进行申请夜间施工许可证。</w:t>
            </w:r>
          </w:p>
          <w:p>
            <w:pPr>
              <w:snapToGrid w:val="0"/>
              <w:spacing w:line="520" w:lineRule="exact"/>
              <w:ind w:firstLine="462" w:firstLineChars="200"/>
              <w:contextualSpacing/>
              <w:rPr>
                <w:color w:val="000000"/>
                <w:kern w:val="0"/>
                <w:sz w:val="24"/>
                <w:szCs w:val="24"/>
              </w:rPr>
            </w:pPr>
            <w:r>
              <w:rPr>
                <w:color w:val="000000"/>
                <w:kern w:val="0"/>
                <w:sz w:val="24"/>
                <w:szCs w:val="24"/>
              </w:rPr>
              <w:t>采取上述措施后，预计项目场界噪声可达到《建筑施工场界环境噪声排放标准》（GB12523-2011）要求，对周围声环境影响较小，且影响随着施工的结束而消失。</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（4）施工期固体废物</w:t>
            </w:r>
            <w:r>
              <w:rPr>
                <w:color w:val="000000"/>
                <w:kern w:val="0"/>
                <w:sz w:val="24"/>
                <w:szCs w:val="24"/>
              </w:rPr>
              <w:t>影响分析</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项目施工期产生的主要固体废弃物为土石方弃渣，建筑垃圾。</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根据污染源分析，项目施工期产生的土石方弃渣约为</w:t>
            </w:r>
            <w:r>
              <w:rPr>
                <w:color w:val="000000"/>
                <w:kern w:val="0"/>
                <w:sz w:val="24"/>
                <w:szCs w:val="24"/>
              </w:rPr>
              <w:t>6645m</w:t>
            </w:r>
            <w:r>
              <w:rPr>
                <w:color w:val="000000"/>
                <w:kern w:val="0"/>
                <w:sz w:val="24"/>
                <w:szCs w:val="24"/>
                <w:vertAlign w:val="superscript"/>
              </w:rPr>
              <w:t>3</w:t>
            </w:r>
            <w:r>
              <w:rPr>
                <w:rFonts w:hint="eastAsia"/>
                <w:color w:val="000000"/>
                <w:kern w:val="0"/>
                <w:sz w:val="24"/>
                <w:szCs w:val="24"/>
              </w:rPr>
              <w:t>；建筑垃圾主要是指剩余的管道铺设拆料（包括废塑料管、废接头、废混凝土、钢材、木料、预制构件等），产生量约为1.5</w:t>
            </w:r>
            <w:r>
              <w:rPr>
                <w:color w:val="000000"/>
                <w:kern w:val="0"/>
                <w:sz w:val="24"/>
                <w:szCs w:val="24"/>
              </w:rPr>
              <w:t>t</w:t>
            </w:r>
            <w:r>
              <w:rPr>
                <w:rFonts w:hint="eastAsia"/>
                <w:color w:val="000000"/>
                <w:kern w:val="0"/>
                <w:sz w:val="24"/>
                <w:szCs w:val="24"/>
              </w:rPr>
              <w:t>。这些固体废物如不妥善处理，将对周围环境造成一定程度的影响。为减小项目建设产生的固体废物对周边环境的影响，本次环评提出以下控制措施：</w:t>
            </w:r>
          </w:p>
          <w:p>
            <w:pPr>
              <w:snapToGrid w:val="0"/>
              <w:spacing w:line="520" w:lineRule="exact"/>
              <w:ind w:firstLine="462" w:firstLineChars="200"/>
              <w:contextualSpacing/>
              <w:rPr>
                <w:color w:val="000000"/>
                <w:kern w:val="0"/>
                <w:sz w:val="24"/>
                <w:szCs w:val="24"/>
              </w:rPr>
            </w:pPr>
            <w:r>
              <w:rPr>
                <w:color w:val="000000"/>
                <w:kern w:val="0"/>
                <w:sz w:val="24"/>
                <w:szCs w:val="24"/>
              </w:rPr>
              <w:t>1</w:t>
            </w:r>
            <w:r>
              <w:rPr>
                <w:rFonts w:hint="eastAsia"/>
                <w:color w:val="000000"/>
                <w:kern w:val="0"/>
                <w:sz w:val="24"/>
                <w:szCs w:val="24"/>
              </w:rPr>
              <w:t>）产生的土石方弃渣尽可能利用，不能利用的由君山区渣土办处理，综合利用于城区建设，严禁乱堆乱放。</w:t>
            </w:r>
          </w:p>
          <w:p>
            <w:pPr>
              <w:snapToGrid w:val="0"/>
              <w:spacing w:line="520" w:lineRule="exact"/>
              <w:ind w:firstLine="462" w:firstLineChars="200"/>
              <w:contextualSpacing/>
              <w:rPr>
                <w:color w:val="000000"/>
                <w:kern w:val="0"/>
                <w:sz w:val="24"/>
                <w:szCs w:val="24"/>
              </w:rPr>
            </w:pPr>
            <w:r>
              <w:rPr>
                <w:color w:val="000000"/>
                <w:kern w:val="0"/>
                <w:sz w:val="24"/>
                <w:szCs w:val="24"/>
              </w:rPr>
              <w:t>2</w:t>
            </w:r>
            <w:r>
              <w:rPr>
                <w:rFonts w:hint="eastAsia"/>
                <w:color w:val="000000"/>
                <w:kern w:val="0"/>
                <w:sz w:val="24"/>
                <w:szCs w:val="24"/>
              </w:rPr>
              <w:t>）产生的土石方弃渣应集中堆放，尽早运出，临时堆放的渣土应用篷布遮挡。</w:t>
            </w:r>
          </w:p>
          <w:p>
            <w:pPr>
              <w:snapToGrid w:val="0"/>
              <w:spacing w:line="520" w:lineRule="exact"/>
              <w:ind w:firstLine="462" w:firstLineChars="200"/>
              <w:contextualSpacing/>
              <w:rPr>
                <w:color w:val="000000"/>
                <w:kern w:val="0"/>
                <w:sz w:val="24"/>
                <w:szCs w:val="24"/>
              </w:rPr>
            </w:pPr>
            <w:r>
              <w:rPr>
                <w:color w:val="000000"/>
                <w:kern w:val="0"/>
                <w:sz w:val="24"/>
                <w:szCs w:val="24"/>
              </w:rPr>
              <w:t>3</w:t>
            </w:r>
            <w:r>
              <w:rPr>
                <w:rFonts w:hint="eastAsia"/>
                <w:color w:val="000000"/>
                <w:kern w:val="0"/>
                <w:sz w:val="24"/>
                <w:szCs w:val="24"/>
              </w:rPr>
              <w:t>）对运输渣土的车辆采取用帆布覆盖车厢，避免运输过程洒落或被风吹散，对运输沿线造成影响。</w:t>
            </w:r>
          </w:p>
          <w:p>
            <w:pPr>
              <w:snapToGrid w:val="0"/>
              <w:spacing w:line="520" w:lineRule="exact"/>
              <w:ind w:firstLine="462" w:firstLineChars="200"/>
              <w:contextualSpacing/>
              <w:rPr>
                <w:color w:val="000000"/>
                <w:kern w:val="0"/>
                <w:sz w:val="24"/>
                <w:szCs w:val="24"/>
              </w:rPr>
            </w:pPr>
            <w:r>
              <w:rPr>
                <w:color w:val="000000"/>
                <w:kern w:val="0"/>
                <w:sz w:val="24"/>
                <w:szCs w:val="24"/>
              </w:rPr>
              <w:t>4</w:t>
            </w:r>
            <w:r>
              <w:rPr>
                <w:rFonts w:hint="eastAsia"/>
                <w:color w:val="000000"/>
                <w:kern w:val="0"/>
                <w:sz w:val="24"/>
                <w:szCs w:val="24"/>
              </w:rPr>
              <w:t>）管道建筑垃圾能回收的尽量回收利用或买卖处理；不能利用或回收部分定点堆放，由环卫部门统一清运。</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在采取上述措施后，可使本项目施工过程中固体废物得到妥善处理处置，对周围环境影响较小。</w:t>
            </w:r>
          </w:p>
          <w:p>
            <w:pPr>
              <w:snapToGrid w:val="0"/>
              <w:spacing w:line="520" w:lineRule="exact"/>
              <w:ind w:firstLine="462" w:firstLineChars="200"/>
              <w:contextualSpacing/>
              <w:rPr>
                <w:color w:val="000000"/>
                <w:kern w:val="0"/>
                <w:sz w:val="24"/>
                <w:szCs w:val="24"/>
              </w:rPr>
            </w:pPr>
            <w:r>
              <w:rPr>
                <w:color w:val="000000"/>
                <w:kern w:val="0"/>
                <w:sz w:val="24"/>
                <w:szCs w:val="24"/>
              </w:rPr>
              <w:t>（5）施工期生态环境影响分析</w:t>
            </w:r>
          </w:p>
          <w:p>
            <w:pPr>
              <w:snapToGrid w:val="0"/>
              <w:spacing w:line="520" w:lineRule="exact"/>
              <w:ind w:firstLine="462" w:firstLineChars="200"/>
              <w:contextualSpacing/>
              <w:rPr>
                <w:color w:val="000000"/>
                <w:kern w:val="0"/>
                <w:sz w:val="24"/>
                <w:szCs w:val="24"/>
              </w:rPr>
            </w:pPr>
            <w:r>
              <w:rPr>
                <w:color w:val="000000"/>
                <w:kern w:val="0"/>
                <w:sz w:val="24"/>
                <w:szCs w:val="24"/>
              </w:rPr>
              <w:t>本项目污水管道敷设管槽开挖地多为道路沿线、农田。项目建设将改变土地原来的利用性质，对生态影响主要体现在管槽的开挖造成一定程度的水土流失。为减少水土流失，本次环评暂提出如下措施：</w:t>
            </w:r>
          </w:p>
          <w:p>
            <w:pPr>
              <w:snapToGrid w:val="0"/>
              <w:spacing w:line="520" w:lineRule="exact"/>
              <w:ind w:firstLine="462" w:firstLineChars="200"/>
              <w:contextualSpacing/>
              <w:rPr>
                <w:color w:val="000000"/>
                <w:kern w:val="0"/>
                <w:sz w:val="24"/>
                <w:szCs w:val="24"/>
              </w:rPr>
            </w:pPr>
            <w:r>
              <w:rPr>
                <w:color w:val="000000"/>
                <w:kern w:val="0"/>
                <w:sz w:val="24"/>
                <w:szCs w:val="24"/>
              </w:rPr>
              <w:t>a 施工过程中在挖填施工场地周围设临时排洪沟，确保暴雨时不出现大量水土流失；施工期结束后，应及时复垦项目临时占地，尽快恢复土地原貌。</w:t>
            </w:r>
          </w:p>
          <w:p>
            <w:pPr>
              <w:snapToGrid w:val="0"/>
              <w:spacing w:line="520" w:lineRule="exact"/>
              <w:ind w:firstLine="462" w:firstLineChars="200"/>
              <w:contextualSpacing/>
              <w:rPr>
                <w:color w:val="000000"/>
                <w:kern w:val="0"/>
                <w:sz w:val="24"/>
                <w:szCs w:val="24"/>
              </w:rPr>
            </w:pPr>
            <w:r>
              <w:rPr>
                <w:color w:val="000000"/>
                <w:kern w:val="0"/>
                <w:sz w:val="24"/>
                <w:szCs w:val="24"/>
              </w:rPr>
              <w:t xml:space="preserve">b </w:t>
            </w:r>
            <w:r>
              <w:rPr>
                <w:rFonts w:hint="eastAsia"/>
                <w:color w:val="000000"/>
                <w:kern w:val="0"/>
                <w:sz w:val="24"/>
                <w:szCs w:val="24"/>
              </w:rPr>
              <w:t>本项目施工路段的泥沙容易随水流进入周围水塘或管网，因此施工中须重视沉沙池的建设，使施工排水经沉沙池沉淀的泥沙后用于道路浇洒，避免泥沙直接进入周围水塘或管网；同时注意沉沙池中泥沙量的增加，及时进行清理。</w:t>
            </w:r>
          </w:p>
          <w:p>
            <w:pPr>
              <w:snapToGrid w:val="0"/>
              <w:spacing w:line="520" w:lineRule="exact"/>
              <w:ind w:firstLine="462" w:firstLineChars="200"/>
              <w:contextualSpacing/>
              <w:rPr>
                <w:color w:val="000000"/>
                <w:kern w:val="0"/>
                <w:sz w:val="24"/>
                <w:szCs w:val="24"/>
              </w:rPr>
            </w:pPr>
            <w:r>
              <w:rPr>
                <w:color w:val="000000"/>
                <w:kern w:val="0"/>
                <w:sz w:val="24"/>
                <w:szCs w:val="24"/>
              </w:rPr>
              <w:t xml:space="preserve">c </w:t>
            </w:r>
            <w:r>
              <w:rPr>
                <w:rFonts w:hint="eastAsia"/>
                <w:color w:val="000000"/>
                <w:kern w:val="0"/>
                <w:sz w:val="24"/>
                <w:szCs w:val="24"/>
              </w:rPr>
              <w:t>遇上雨季，对堆料进行防尘网覆盖，防止被雨水冲刷，污染周围环境。</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d</w:t>
            </w:r>
            <w:r>
              <w:rPr>
                <w:color w:val="000000"/>
                <w:kern w:val="0"/>
                <w:sz w:val="24"/>
                <w:szCs w:val="24"/>
              </w:rPr>
              <w:t>与气象部门密切联系，及时暴雨等灾害性天气情况，事先掌握施工地点所在区域降雨的时间和特点，合理制定施工计划，以便在暴雨前及时对施工场地进行清理，减缓暴雨对开挖路面的剧烈冲刷，减少水土流失。</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严格落实以上措施，项目施工对生态环境的影响能够得到有效控制，对周边生态环境影响较小。</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（6）施工期社会环境影响分析</w:t>
            </w:r>
          </w:p>
          <w:p>
            <w:pPr>
              <w:snapToGrid w:val="0"/>
              <w:spacing w:line="520" w:lineRule="exact"/>
              <w:ind w:firstLine="462" w:firstLineChars="200"/>
              <w:contextualSpacing/>
              <w:rPr>
                <w:color w:val="000000"/>
                <w:kern w:val="0"/>
                <w:sz w:val="24"/>
                <w:szCs w:val="24"/>
              </w:rPr>
            </w:pPr>
            <w:r>
              <w:rPr>
                <w:color w:val="000000"/>
                <w:kern w:val="0"/>
                <w:sz w:val="24"/>
                <w:szCs w:val="24"/>
              </w:rPr>
              <w:t>1）对交通及居民出行的影响</w:t>
            </w:r>
          </w:p>
          <w:p>
            <w:pPr>
              <w:snapToGrid w:val="0"/>
              <w:spacing w:line="520" w:lineRule="exact"/>
              <w:ind w:firstLine="462" w:firstLineChars="200"/>
              <w:contextualSpacing/>
              <w:rPr>
                <w:color w:val="000000"/>
                <w:kern w:val="0"/>
                <w:sz w:val="24"/>
                <w:szCs w:val="24"/>
              </w:rPr>
            </w:pPr>
            <w:r>
              <w:rPr>
                <w:color w:val="000000"/>
                <w:kern w:val="0"/>
                <w:sz w:val="24"/>
                <w:szCs w:val="24"/>
              </w:rPr>
              <w:t>项目施工过程中材料及废弃筑路材料、建筑垃圾运出及现有道路路面破除，均会对道路沿线的居民等设施产生一定影响，运输材料主要是运输过程产生的运输扬尘、运输车辆噪声以及一定程度的交通堵塞，给居民出行造成不便。管网施工过程设置围挡会对沿线居民出行造成不便。</w:t>
            </w:r>
          </w:p>
          <w:p>
            <w:pPr>
              <w:snapToGrid w:val="0"/>
              <w:spacing w:line="520" w:lineRule="exact"/>
              <w:ind w:firstLine="462" w:firstLineChars="200"/>
              <w:contextualSpacing/>
              <w:rPr>
                <w:color w:val="000000"/>
                <w:kern w:val="0"/>
                <w:sz w:val="24"/>
                <w:szCs w:val="24"/>
              </w:rPr>
            </w:pPr>
            <w:r>
              <w:rPr>
                <w:color w:val="000000"/>
                <w:kern w:val="0"/>
                <w:sz w:val="24"/>
                <w:szCs w:val="24"/>
              </w:rPr>
              <w:t>为减少项目施工期给周围交通和当地居民带来不便，环评建议，运输材料及建筑垃圾须采用密闭措施，减少扬尘产生，运输车辆经过居民区时，应控制车速，禁止鸣笛；运输车辆应尽量避开居民出行高峰期；施工单位应就施工方案和交通组织方案与交通、道路相关部门进行充分协商，并做好施工期的防护工作和施工监理，确保施工期沿线道路的正常运行。</w:t>
            </w:r>
          </w:p>
          <w:p>
            <w:pPr>
              <w:numPr>
                <w:ilvl w:val="0"/>
                <w:numId w:val="4"/>
              </w:numPr>
              <w:snapToGrid w:val="0"/>
              <w:spacing w:line="520" w:lineRule="exact"/>
              <w:ind w:firstLine="462" w:firstLineChars="200"/>
              <w:contextualSpacing/>
              <w:rPr>
                <w:color w:val="000000"/>
                <w:kern w:val="0"/>
                <w:sz w:val="24"/>
                <w:szCs w:val="24"/>
              </w:rPr>
            </w:pPr>
            <w:r>
              <w:rPr>
                <w:color w:val="000000"/>
                <w:kern w:val="0"/>
                <w:sz w:val="24"/>
                <w:szCs w:val="24"/>
              </w:rPr>
              <w:t>项目施工可能对施工区域地下管线及项目沿线基础设施造成破坏，给区域居民的生活造成不便。本项目环评建议，项目施工前应与其他市政管线部门做好交接工作，避免对施工区域已埋的其他管线造成不必要的破坏。</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（7）工程建设占用土地影响</w:t>
            </w:r>
          </w:p>
          <w:p>
            <w:pPr>
              <w:autoSpaceDE w:val="0"/>
              <w:autoSpaceDN w:val="0"/>
              <w:adjustRightInd w:val="0"/>
              <w:spacing w:line="360" w:lineRule="auto"/>
              <w:ind w:firstLine="462" w:firstLineChars="200"/>
              <w:rPr>
                <w:kern w:val="0"/>
                <w:sz w:val="24"/>
                <w:szCs w:val="21"/>
              </w:rPr>
            </w:pPr>
            <w:r>
              <w:rPr>
                <w:kern w:val="0"/>
                <w:sz w:val="24"/>
                <w:szCs w:val="21"/>
              </w:rPr>
              <w:t>本工程建设临时性占地主要用于管线施工，管道挖掘土的堆积，堆管、设备及材料存放用地，施工临时便道用地等，仅在施工期内及以后较短时间内影响土地的利用，经过一定恢复期后，土地的利用状况不会发生改变，仍可以保持原有的使用功能，</w:t>
            </w:r>
            <w:r>
              <w:rPr>
                <w:sz w:val="24"/>
              </w:rPr>
              <w:t>建设造成的植被损失可以在很大程度上得到补偿。</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（8）对土壤环境的影响</w:t>
            </w:r>
          </w:p>
          <w:p>
            <w:pPr>
              <w:autoSpaceDE w:val="0"/>
              <w:autoSpaceDN w:val="0"/>
              <w:adjustRightInd w:val="0"/>
              <w:spacing w:line="360" w:lineRule="auto"/>
              <w:ind w:firstLine="462" w:firstLineChars="200"/>
              <w:rPr>
                <w:kern w:val="0"/>
                <w:sz w:val="24"/>
                <w:szCs w:val="21"/>
              </w:rPr>
            </w:pPr>
            <w:r>
              <w:rPr>
                <w:kern w:val="0"/>
                <w:sz w:val="24"/>
                <w:szCs w:val="21"/>
              </w:rPr>
              <w:t>管道开挖和填埋作业对土壤环境的影响表现在：</w:t>
            </w:r>
          </w:p>
          <w:p>
            <w:pPr>
              <w:autoSpaceDE w:val="0"/>
              <w:autoSpaceDN w:val="0"/>
              <w:adjustRightInd w:val="0"/>
              <w:spacing w:line="360" w:lineRule="auto"/>
              <w:ind w:firstLine="462" w:firstLineChars="200"/>
              <w:rPr>
                <w:kern w:val="0"/>
                <w:sz w:val="24"/>
                <w:szCs w:val="21"/>
              </w:rPr>
            </w:pPr>
            <w:r>
              <w:rPr>
                <w:rFonts w:hint="eastAsia"/>
                <w:kern w:val="0"/>
                <w:sz w:val="24"/>
                <w:szCs w:val="21"/>
              </w:rPr>
              <w:t>1）</w:t>
            </w:r>
            <w:r>
              <w:rPr>
                <w:kern w:val="0"/>
                <w:sz w:val="24"/>
                <w:szCs w:val="21"/>
              </w:rPr>
              <w:t>破坏土壤结构。土壤结构的形成需要漫长的时间，土壤结构是土壤质量好坏的重要指标，特别是团粒结构是土壤质量的重要指标，团粒结构占的比重越高，表示土壤质量越好，团粒结构一旦被破坏，恢复需要较长时间，而且比较困难。施工过程中对土地的开挖和填埋，容易破坏团粒结构，干扰团粒结构的自然形成过程。施工过程中的机械碾压、人员践踏等活动都会对土壤结构产生不良影响。</w:t>
            </w:r>
          </w:p>
          <w:p>
            <w:pPr>
              <w:autoSpaceDE w:val="0"/>
              <w:autoSpaceDN w:val="0"/>
              <w:adjustRightInd w:val="0"/>
              <w:spacing w:line="360" w:lineRule="auto"/>
              <w:ind w:firstLine="462" w:firstLineChars="200"/>
              <w:rPr>
                <w:kern w:val="0"/>
                <w:sz w:val="24"/>
                <w:szCs w:val="21"/>
              </w:rPr>
            </w:pPr>
            <w:r>
              <w:rPr>
                <w:rFonts w:hint="eastAsia"/>
                <w:kern w:val="0"/>
                <w:sz w:val="24"/>
                <w:szCs w:val="21"/>
              </w:rPr>
              <w:t>2）</w:t>
            </w:r>
            <w:r>
              <w:rPr>
                <w:kern w:val="0"/>
                <w:sz w:val="24"/>
                <w:szCs w:val="21"/>
              </w:rPr>
              <w:t>影响土壤的紧实度。在施工机械作业中，机械设备的碾压，施工人员的践踏使土壤紧实度增高，影响地表水的入渗，土体过于紧实不利于植物的生长。</w:t>
            </w:r>
          </w:p>
          <w:p>
            <w:pPr>
              <w:autoSpaceDE w:val="0"/>
              <w:autoSpaceDN w:val="0"/>
              <w:adjustRightInd w:val="0"/>
              <w:spacing w:line="360" w:lineRule="auto"/>
              <w:ind w:firstLine="462" w:firstLineChars="200"/>
              <w:rPr>
                <w:kern w:val="0"/>
                <w:sz w:val="24"/>
                <w:szCs w:val="21"/>
              </w:rPr>
            </w:pPr>
            <w:r>
              <w:rPr>
                <w:rFonts w:hint="eastAsia"/>
                <w:kern w:val="0"/>
                <w:sz w:val="24"/>
                <w:szCs w:val="21"/>
              </w:rPr>
              <w:t>3）</w:t>
            </w:r>
            <w:r>
              <w:rPr>
                <w:kern w:val="0"/>
                <w:sz w:val="24"/>
                <w:szCs w:val="21"/>
              </w:rPr>
              <w:t>土壤养分流失。在土壤刨面中各个土层中，就养分状况而言，表土层（腐殖质层、耕作层）远比心土层养分好，其有机质、全氮、全磷均较其他层次高。施工作业对原有的土体构型产生扰动，使土壤性质发生变化，土壤养分状况受到影响，从而影响植物的生长。</w:t>
            </w:r>
          </w:p>
          <w:p>
            <w:pPr>
              <w:autoSpaceDE w:val="0"/>
              <w:autoSpaceDN w:val="0"/>
              <w:adjustRightInd w:val="0"/>
              <w:spacing w:line="360" w:lineRule="auto"/>
              <w:ind w:firstLine="462" w:firstLineChars="200"/>
              <w:rPr>
                <w:kern w:val="0"/>
                <w:sz w:val="24"/>
                <w:szCs w:val="21"/>
              </w:rPr>
            </w:pPr>
            <w:r>
              <w:rPr>
                <w:rFonts w:hint="eastAsia"/>
                <w:kern w:val="0"/>
                <w:sz w:val="24"/>
                <w:szCs w:val="21"/>
              </w:rPr>
              <w:t>4）</w:t>
            </w:r>
            <w:r>
              <w:rPr>
                <w:kern w:val="0"/>
                <w:sz w:val="24"/>
                <w:szCs w:val="21"/>
              </w:rPr>
              <w:t>对土壤生物的影响。由于上述土壤理化性质和土体构型的改变，使土壤中的微生物、原生动物及其它节肢动物、环节动物、软体动物的栖息环境改变。由于本施工区无珍稀土壤生物，且施工带影响宽度距离较小，因此土壤生物的生态平衡很快会恢复。</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（9）对景观环境的影响</w:t>
            </w:r>
          </w:p>
          <w:p>
            <w:pPr>
              <w:autoSpaceDE w:val="0"/>
              <w:autoSpaceDN w:val="0"/>
              <w:adjustRightInd w:val="0"/>
              <w:spacing w:line="360" w:lineRule="auto"/>
              <w:ind w:firstLine="462" w:firstLineChars="200"/>
              <w:rPr>
                <w:kern w:val="0"/>
                <w:sz w:val="24"/>
              </w:rPr>
            </w:pPr>
            <w:r>
              <w:rPr>
                <w:kern w:val="0"/>
                <w:sz w:val="24"/>
              </w:rPr>
              <w:t>项目建设对景观生态的影响主要取决于项目施工区地表现有的植被、地形变化情况等。</w:t>
            </w:r>
            <w:r>
              <w:rPr>
                <w:sz w:val="24"/>
              </w:rPr>
              <w:t>本项工程涉及区域为交通道路景观。</w:t>
            </w:r>
            <w:r>
              <w:rPr>
                <w:kern w:val="0"/>
                <w:sz w:val="24"/>
              </w:rPr>
              <w:t>管道埋设后，地表将被复原、按原有状况进行补植，原有的绿化带基本不会发生改变；项目也不会改变评价区原有景观生态格局与生态功能。因此，按照景观生态学理论与方法评价本项工程对该区域景观生态的影响结论为基本没有影响。</w:t>
            </w:r>
          </w:p>
          <w:p>
            <w:pPr>
              <w:spacing w:line="360" w:lineRule="auto"/>
              <w:ind w:firstLine="462" w:firstLineChars="200"/>
              <w:outlineLvl w:val="0"/>
              <w:rPr>
                <w:kern w:val="0"/>
                <w:sz w:val="24"/>
                <w:szCs w:val="21"/>
              </w:rPr>
            </w:pPr>
            <w:r>
              <w:rPr>
                <w:kern w:val="0"/>
                <w:sz w:val="24"/>
                <w:szCs w:val="21"/>
              </w:rPr>
              <w:t>为减小本项目施工期对区域生态环境的影响，本评价提出以下生态保护措施：</w:t>
            </w:r>
          </w:p>
          <w:p>
            <w:pPr>
              <w:autoSpaceDE w:val="0"/>
              <w:autoSpaceDN w:val="0"/>
              <w:adjustRightInd w:val="0"/>
              <w:spacing w:line="360" w:lineRule="auto"/>
              <w:ind w:firstLine="462" w:firstLineChars="200"/>
              <w:rPr>
                <w:kern w:val="0"/>
                <w:sz w:val="24"/>
                <w:szCs w:val="21"/>
              </w:rPr>
            </w:pPr>
            <w:r>
              <w:rPr>
                <w:kern w:val="0"/>
                <w:sz w:val="24"/>
                <w:szCs w:val="21"/>
              </w:rPr>
              <w:t>①环评要求在项目走向方案设计和施工中，尽可能避开树木、草坪等绿化地段，路段旁侧（绿化带）的花草树木需做好移栽保护工作，不必全部破坏重新种植，而是暂移种，并按原有的设计补植为好。施工过程应注意保护施工带相邻地块的树木绿地等植被。施工过程中破坏的植被在工程竣工后应尽快恢复，严格控制临时占地区域，竣工后应尽快恢复原状。</w:t>
            </w:r>
          </w:p>
          <w:p>
            <w:pPr>
              <w:autoSpaceDE w:val="0"/>
              <w:autoSpaceDN w:val="0"/>
              <w:adjustRightInd w:val="0"/>
              <w:spacing w:line="360" w:lineRule="auto"/>
              <w:ind w:firstLine="462" w:firstLineChars="200"/>
              <w:rPr>
                <w:kern w:val="0"/>
                <w:sz w:val="24"/>
                <w:szCs w:val="21"/>
              </w:rPr>
            </w:pPr>
            <w:r>
              <w:rPr>
                <w:kern w:val="0"/>
                <w:sz w:val="24"/>
                <w:szCs w:val="21"/>
              </w:rPr>
              <w:t>②项目施工过程产生的剩余土方、建筑垃圾及时清理，同时做好水土流失防护措施。</w:t>
            </w:r>
          </w:p>
          <w:p>
            <w:pPr>
              <w:autoSpaceDE w:val="0"/>
              <w:autoSpaceDN w:val="0"/>
              <w:adjustRightInd w:val="0"/>
              <w:spacing w:line="360" w:lineRule="auto"/>
              <w:ind w:firstLine="462" w:firstLineChars="200"/>
              <w:rPr>
                <w:kern w:val="0"/>
                <w:sz w:val="24"/>
                <w:szCs w:val="21"/>
              </w:rPr>
            </w:pPr>
            <w:r>
              <w:rPr>
                <w:kern w:val="0"/>
                <w:sz w:val="24"/>
                <w:szCs w:val="21"/>
              </w:rPr>
              <w:t>③项目建设中采取尽量少占地，少破坏植被的原则，尽量缩小施工范围，各种施工活动应严格控制在施工区域内，并将临时占地面积控制在最低限度，以免造成土壤与植被的不必要破坏。在施工中应执行</w:t>
            </w:r>
            <w:r>
              <w:rPr>
                <w:rFonts w:hint="eastAsia"/>
                <w:kern w:val="0"/>
                <w:sz w:val="24"/>
                <w:szCs w:val="21"/>
              </w:rPr>
              <w:t>“</w:t>
            </w:r>
            <w:r>
              <w:rPr>
                <w:kern w:val="0"/>
                <w:sz w:val="24"/>
                <w:szCs w:val="21"/>
              </w:rPr>
              <w:t>分层开挖、</w:t>
            </w:r>
            <w:r>
              <w:rPr>
                <w:rFonts w:hint="eastAsia"/>
                <w:kern w:val="0"/>
                <w:sz w:val="24"/>
                <w:szCs w:val="21"/>
              </w:rPr>
              <w:t>分层堆放、</w:t>
            </w:r>
            <w:r>
              <w:rPr>
                <w:kern w:val="0"/>
                <w:sz w:val="24"/>
                <w:szCs w:val="21"/>
              </w:rPr>
              <w:t>分层填埋原则</w:t>
            </w:r>
            <w:r>
              <w:rPr>
                <w:rFonts w:hint="eastAsia"/>
                <w:kern w:val="0"/>
                <w:sz w:val="24"/>
                <w:szCs w:val="21"/>
              </w:rPr>
              <w:t>”</w:t>
            </w:r>
            <w:r>
              <w:rPr>
                <w:kern w:val="0"/>
                <w:sz w:val="24"/>
                <w:szCs w:val="21"/>
              </w:rPr>
              <w:t>，施工后</w:t>
            </w:r>
            <w:r>
              <w:rPr>
                <w:rFonts w:hint="eastAsia"/>
                <w:kern w:val="0"/>
                <w:sz w:val="24"/>
                <w:szCs w:val="21"/>
              </w:rPr>
              <w:t>及时</w:t>
            </w:r>
            <w:r>
              <w:rPr>
                <w:kern w:val="0"/>
                <w:sz w:val="24"/>
                <w:szCs w:val="21"/>
              </w:rPr>
              <w:t>进行地貌、植被恢复，以植被护土，防止或减轻水土流失。</w:t>
            </w:r>
          </w:p>
          <w:p>
            <w:pPr>
              <w:autoSpaceDE w:val="0"/>
              <w:autoSpaceDN w:val="0"/>
              <w:adjustRightInd w:val="0"/>
              <w:spacing w:line="360" w:lineRule="auto"/>
              <w:ind w:firstLine="462" w:firstLineChars="200"/>
              <w:rPr>
                <w:kern w:val="0"/>
                <w:sz w:val="24"/>
                <w:szCs w:val="21"/>
              </w:rPr>
            </w:pPr>
            <w:r>
              <w:rPr>
                <w:kern w:val="0"/>
                <w:sz w:val="24"/>
                <w:szCs w:val="21"/>
              </w:rPr>
              <w:t>④做好项目挖填土方的合理调配工作，临时弃土堆放点应采取防护措施，避免在降雨期间挖填土方，以防雨水冲刷造成水土流失、污染水体、堵塞排水管道。</w:t>
            </w:r>
          </w:p>
          <w:p>
            <w:pPr>
              <w:autoSpaceDE w:val="0"/>
              <w:autoSpaceDN w:val="0"/>
              <w:adjustRightInd w:val="0"/>
              <w:spacing w:line="360" w:lineRule="auto"/>
              <w:ind w:firstLine="462" w:firstLineChars="200"/>
              <w:rPr>
                <w:kern w:val="0"/>
                <w:sz w:val="24"/>
                <w:szCs w:val="21"/>
              </w:rPr>
            </w:pPr>
            <w:r>
              <w:rPr>
                <w:kern w:val="0"/>
                <w:sz w:val="24"/>
                <w:szCs w:val="21"/>
              </w:rPr>
              <w:t>综上所述，本工程主要生态环境影响是施工期的影响。施工期间对城市生态环境影响不大，通过采取相应的生态保护和恢复措施，项目建设对生态环境影响是可接受的。</w:t>
            </w:r>
          </w:p>
          <w:p>
            <w:pPr>
              <w:snapToGrid w:val="0"/>
              <w:spacing w:line="520" w:lineRule="exact"/>
              <w:ind w:firstLine="462" w:firstLineChars="200"/>
              <w:contextualSpacing/>
              <w:rPr>
                <w:color w:val="000000"/>
                <w:kern w:val="0"/>
                <w:sz w:val="24"/>
                <w:szCs w:val="24"/>
              </w:rPr>
            </w:pPr>
            <w:r>
              <w:rPr>
                <w:rFonts w:hint="eastAsia"/>
                <w:color w:val="000000"/>
                <w:kern w:val="0"/>
                <w:sz w:val="24"/>
                <w:szCs w:val="24"/>
              </w:rPr>
              <w:t>（10）施工期水土流失影响分析</w:t>
            </w:r>
          </w:p>
          <w:p>
            <w:pPr>
              <w:autoSpaceDE w:val="0"/>
              <w:autoSpaceDN w:val="0"/>
              <w:adjustRightInd w:val="0"/>
              <w:spacing w:line="360" w:lineRule="auto"/>
              <w:ind w:firstLine="462" w:firstLineChars="200"/>
              <w:rPr>
                <w:kern w:val="0"/>
                <w:sz w:val="24"/>
                <w:szCs w:val="21"/>
              </w:rPr>
            </w:pPr>
            <w:r>
              <w:rPr>
                <w:kern w:val="0"/>
                <w:sz w:val="24"/>
                <w:szCs w:val="21"/>
              </w:rPr>
              <w:t>一般项目建设对水土流失的影响主要表现在以下两方面：地表开挖破坏植被、造成地面裸露，降雨时加深土壤侵蚀和水土流失；各类临时占地破坏原有植被，使当地水土流失加剧，如遇废弃土临时堆放场管理不当时，容易发生片蚀、浅沟蚀等形式的水土流失。本项目可能发生水土流失的施工阶段主要在基坑开挖过程。</w:t>
            </w:r>
            <w:r>
              <w:rPr>
                <w:rFonts w:hint="eastAsia"/>
                <w:kern w:val="0"/>
                <w:sz w:val="24"/>
                <w:szCs w:val="21"/>
              </w:rPr>
              <w:t>项目</w:t>
            </w:r>
            <w:r>
              <w:rPr>
                <w:kern w:val="0"/>
                <w:sz w:val="24"/>
              </w:rPr>
              <w:t>沿线水土流失量</w:t>
            </w:r>
            <w:r>
              <w:rPr>
                <w:rFonts w:hint="eastAsia"/>
                <w:kern w:val="0"/>
                <w:sz w:val="24"/>
              </w:rPr>
              <w:t>15.4</w:t>
            </w:r>
            <w:r>
              <w:rPr>
                <w:kern w:val="0"/>
                <w:sz w:val="24"/>
              </w:rPr>
              <w:t>t，为轻度流失</w:t>
            </w:r>
            <w:r>
              <w:rPr>
                <w:rFonts w:hint="eastAsia"/>
                <w:kern w:val="0"/>
                <w:sz w:val="24"/>
              </w:rPr>
              <w:t>。</w:t>
            </w:r>
          </w:p>
          <w:p>
            <w:pPr>
              <w:pStyle w:val="14"/>
              <w:spacing w:after="0" w:line="360" w:lineRule="auto"/>
              <w:ind w:left="0" w:leftChars="0" w:firstLine="462" w:firstLineChars="200"/>
              <w:rPr>
                <w:sz w:val="24"/>
                <w:szCs w:val="24"/>
              </w:rPr>
            </w:pPr>
            <w:r>
              <w:rPr>
                <w:sz w:val="24"/>
                <w:szCs w:val="24"/>
              </w:rPr>
              <w:t>由于工程施工场地平坦，在施工过程中只要加强管理，因施工带来的水土流失就会大大减小。施工场地应注意土方的合理堆置，建筑材料及未及时清运的弃方在大风雨水天气要用篷布遮盖。</w:t>
            </w:r>
          </w:p>
          <w:p>
            <w:pPr>
              <w:pStyle w:val="14"/>
              <w:spacing w:after="0" w:line="360" w:lineRule="auto"/>
              <w:ind w:left="0" w:leftChars="0" w:firstLine="462" w:firstLineChars="200"/>
              <w:rPr>
                <w:sz w:val="24"/>
                <w:szCs w:val="24"/>
              </w:rPr>
            </w:pPr>
            <w:r>
              <w:rPr>
                <w:bCs/>
                <w:kern w:val="0"/>
                <w:sz w:val="24"/>
                <w:szCs w:val="24"/>
              </w:rPr>
              <w:t>为进一步减小本工程施工期造成的水土流失，本评价提出以下防治措施：</w:t>
            </w:r>
          </w:p>
          <w:p>
            <w:pPr>
              <w:autoSpaceDE w:val="0"/>
              <w:autoSpaceDN w:val="0"/>
              <w:adjustRightInd w:val="0"/>
              <w:spacing w:line="360" w:lineRule="auto"/>
              <w:ind w:firstLine="462" w:firstLineChars="200"/>
              <w:rPr>
                <w:kern w:val="0"/>
                <w:sz w:val="24"/>
              </w:rPr>
            </w:pPr>
            <w:r>
              <w:rPr>
                <w:kern w:val="0"/>
                <w:sz w:val="24"/>
              </w:rPr>
              <w:t>①在开挖建设中，应尽量避开雨季。</w:t>
            </w:r>
          </w:p>
          <w:p>
            <w:pPr>
              <w:autoSpaceDE w:val="0"/>
              <w:autoSpaceDN w:val="0"/>
              <w:adjustRightInd w:val="0"/>
              <w:spacing w:line="360" w:lineRule="auto"/>
              <w:ind w:firstLine="462" w:firstLineChars="200"/>
              <w:rPr>
                <w:kern w:val="0"/>
                <w:sz w:val="24"/>
                <w:szCs w:val="21"/>
              </w:rPr>
            </w:pPr>
            <w:r>
              <w:rPr>
                <w:kern w:val="0"/>
                <w:sz w:val="24"/>
                <w:szCs w:val="21"/>
              </w:rPr>
              <w:t>②临时土方堆放场应选择较平整的场地，且场地使用后尽快恢复植被。</w:t>
            </w:r>
          </w:p>
          <w:p>
            <w:pPr>
              <w:autoSpaceDE w:val="0"/>
              <w:autoSpaceDN w:val="0"/>
              <w:adjustRightInd w:val="0"/>
              <w:spacing w:line="360" w:lineRule="auto"/>
              <w:ind w:firstLine="462" w:firstLineChars="200"/>
              <w:rPr>
                <w:kern w:val="0"/>
                <w:sz w:val="24"/>
                <w:szCs w:val="21"/>
              </w:rPr>
            </w:pPr>
            <w:r>
              <w:rPr>
                <w:kern w:val="0"/>
                <w:sz w:val="24"/>
                <w:szCs w:val="21"/>
              </w:rPr>
              <w:t>③工程施工应分期分区进行，不要全面铺开以缩短单项工期。开挖的裸露面要有防治措施，尽量缩短暴露时间，减少水土流失。</w:t>
            </w:r>
          </w:p>
          <w:p>
            <w:pPr>
              <w:spacing w:line="360" w:lineRule="auto"/>
              <w:ind w:firstLine="462" w:firstLineChars="200"/>
            </w:pPr>
            <w:r>
              <w:rPr>
                <w:kern w:val="0"/>
                <w:sz w:val="24"/>
                <w:szCs w:val="21"/>
              </w:rPr>
              <w:t>④施工场地应注意土方的合理堆置，距下水道应保持一定距离，尽量避免流入沟渠和下水道，减少水土流失对河流及雨水管网的影响。</w:t>
            </w:r>
          </w:p>
          <w:p>
            <w:pPr>
              <w:pStyle w:val="14"/>
              <w:spacing w:after="0" w:line="360" w:lineRule="auto"/>
              <w:ind w:left="0" w:leftChars="0" w:firstLine="462" w:firstLineChars="200"/>
              <w:rPr>
                <w:color w:val="000000"/>
                <w:kern w:val="0"/>
                <w:sz w:val="24"/>
                <w:szCs w:val="24"/>
              </w:rPr>
            </w:pPr>
            <w:r>
              <w:rPr>
                <w:rFonts w:hint="eastAsia"/>
                <w:bCs/>
                <w:kern w:val="0"/>
                <w:sz w:val="24"/>
                <w:szCs w:val="24"/>
              </w:rPr>
              <w:t>⑤临时堆场以塑料布覆盖，周边用土袋压实，做好土方的妥善堆放与保护；挖出临时堆放土方要及时回填，弃土要及时运送至指定建筑渣土处置场内。</w:t>
            </w:r>
          </w:p>
          <w:p>
            <w:pPr>
              <w:numPr>
                <w:ilvl w:val="0"/>
                <w:numId w:val="3"/>
              </w:numPr>
              <w:snapToGrid w:val="0"/>
              <w:spacing w:line="520" w:lineRule="exact"/>
              <w:ind w:firstLine="542" w:firstLineChars="200"/>
              <w:contextualSpacing/>
              <w:rPr>
                <w:b/>
                <w:color w:val="000000"/>
                <w:sz w:val="28"/>
                <w:szCs w:val="28"/>
              </w:rPr>
            </w:pPr>
            <w:r>
              <w:rPr>
                <w:rFonts w:hint="eastAsia"/>
                <w:b/>
                <w:color w:val="000000"/>
                <w:sz w:val="28"/>
                <w:szCs w:val="28"/>
              </w:rPr>
              <w:t>营运</w:t>
            </w:r>
            <w:r>
              <w:rPr>
                <w:b/>
                <w:color w:val="000000"/>
                <w:sz w:val="28"/>
                <w:szCs w:val="28"/>
              </w:rPr>
              <w:t>期环境影响分析</w:t>
            </w:r>
          </w:p>
          <w:p>
            <w:pPr>
              <w:spacing w:line="360" w:lineRule="auto"/>
              <w:ind w:firstLine="462" w:firstLineChars="200"/>
              <w:rPr>
                <w:kern w:val="0"/>
                <w:sz w:val="24"/>
                <w:szCs w:val="21"/>
              </w:rPr>
            </w:pPr>
            <w:r>
              <w:rPr>
                <w:rFonts w:hint="eastAsia"/>
                <w:kern w:val="0"/>
                <w:sz w:val="24"/>
                <w:szCs w:val="21"/>
              </w:rPr>
              <w:t>本项目不属于工业项目，运营过程无生产工艺，本项目不设泵站房和管理用房，也不新增工作人员，因此本项目运营期无任何污染物产生。</w:t>
            </w:r>
          </w:p>
          <w:p>
            <w:pPr>
              <w:spacing w:line="360" w:lineRule="auto"/>
              <w:ind w:firstLine="462" w:firstLineChars="200"/>
            </w:pPr>
            <w:r>
              <w:rPr>
                <w:rFonts w:hint="eastAsia"/>
                <w:kern w:val="0"/>
                <w:sz w:val="24"/>
                <w:szCs w:val="21"/>
              </w:rPr>
              <w:t xml:space="preserve"> 本项目为污水管道建设项目，污水管道在投入使用后，由于管道破裂、腐蚀和管道接口处泄露等原因可能会造成管道内的污水泄露，泄露的污水可能会对地下水体和土壤造成污染。本项目污水管道采用钢筋混疑土管道，该管道具有较高的抗腐蚀性和抗渗透性、能够承受较大的外压，接口处采用承插式橡胶圈止水，能够很好的避免发生污水泄露。同时本项目污水管道投入使用后，应安排专业人员对污水管道进行定期检查，发现问题及时进行处理。</w:t>
            </w:r>
          </w:p>
          <w:p>
            <w:pPr>
              <w:snapToGrid w:val="0"/>
              <w:spacing w:line="520" w:lineRule="exact"/>
              <w:ind w:firstLine="542" w:firstLineChars="200"/>
              <w:contextualSpacing/>
              <w:rPr>
                <w:b/>
                <w:color w:val="000000"/>
                <w:sz w:val="28"/>
                <w:szCs w:val="28"/>
              </w:rPr>
            </w:pPr>
            <w:r>
              <w:rPr>
                <w:rFonts w:hint="eastAsia"/>
                <w:b/>
                <w:color w:val="000000"/>
                <w:sz w:val="28"/>
                <w:szCs w:val="28"/>
              </w:rPr>
              <w:t>4</w:t>
            </w:r>
            <w:r>
              <w:rPr>
                <w:b/>
                <w:color w:val="000000"/>
                <w:sz w:val="28"/>
                <w:szCs w:val="28"/>
              </w:rPr>
              <w:t>、项目建设对东洞庭湖影响分析</w:t>
            </w:r>
          </w:p>
          <w:p>
            <w:pPr>
              <w:pStyle w:val="25"/>
              <w:adjustRightInd w:val="0"/>
              <w:spacing w:line="520" w:lineRule="exact"/>
              <w:ind w:firstLine="462" w:firstLineChars="200"/>
              <w:rPr>
                <w:rFonts w:eastAsia="宋体"/>
                <w:sz w:val="24"/>
                <w:szCs w:val="24"/>
              </w:rPr>
            </w:pPr>
            <w:r>
              <w:rPr>
                <w:rFonts w:hint="eastAsia" w:eastAsia="宋体"/>
                <w:sz w:val="24"/>
                <w:szCs w:val="24"/>
              </w:rPr>
              <w:t>项目建设地西南为东洞庭湖，将东洞庭湖自然保护区列为环境保护目标。根据湖南东洞庭湖国家自然保护区范围调整后功能区划图，本项目建设地不在东洞庭湖自然保护区核心区、缓冲区及实验区内。且项目为排水管网施工，主要影响来自施工期，施工期较短，项目建设对东洞庭湖自然保护区基本无影响。</w:t>
            </w:r>
          </w:p>
          <w:p>
            <w:pPr>
              <w:snapToGrid w:val="0"/>
              <w:spacing w:line="520" w:lineRule="exact"/>
              <w:ind w:firstLine="542" w:firstLineChars="200"/>
              <w:contextualSpacing/>
              <w:rPr>
                <w:b/>
                <w:color w:val="000000"/>
                <w:sz w:val="28"/>
                <w:szCs w:val="28"/>
              </w:rPr>
            </w:pPr>
            <w:r>
              <w:rPr>
                <w:rFonts w:hint="eastAsia"/>
                <w:b/>
                <w:color w:val="000000"/>
                <w:sz w:val="28"/>
                <w:szCs w:val="28"/>
              </w:rPr>
              <w:t>5、产业政策及规划相符性分析</w:t>
            </w:r>
          </w:p>
          <w:p>
            <w:pPr>
              <w:pStyle w:val="21"/>
              <w:autoSpaceDE/>
              <w:autoSpaceDN/>
              <w:adjustRightInd/>
              <w:snapToGrid w:val="0"/>
              <w:spacing w:line="520" w:lineRule="exact"/>
              <w:ind w:firstLine="462" w:firstLineChars="200"/>
              <w:contextualSpacing/>
              <w:jc w:val="both"/>
              <w:rPr>
                <w:rFonts w:ascii="Times New Roman"/>
              </w:rPr>
            </w:pPr>
            <w:r>
              <w:rPr>
                <w:rFonts w:hint="eastAsia" w:ascii="Times New Roman"/>
              </w:rPr>
              <w:t>（1）产业政策相符性分析</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本项目属于</w:t>
            </w:r>
            <w:r>
              <w:rPr>
                <w:rFonts w:hint="eastAsia" w:ascii="Times New Roman"/>
              </w:rPr>
              <w:t>城市排水设施建设项目</w:t>
            </w:r>
            <w:r>
              <w:rPr>
                <w:rFonts w:ascii="Times New Roman"/>
              </w:rPr>
              <w:t>，属于国家发改委《产业结构调整指导目录（2011年本）（2013年修正）》鼓励类中第二十二类“城镇基础设施”中的第9款“城镇供排水管网工程、供水水源及净化厂工程”项目，因此本项目为鼓励类。因此，本项目符</w:t>
            </w:r>
            <w:r>
              <w:rPr>
                <w:rFonts w:hint="eastAsia" w:ascii="Times New Roman"/>
              </w:rPr>
              <w:t>合国家产业政策。</w:t>
            </w:r>
          </w:p>
          <w:p>
            <w:pPr>
              <w:pStyle w:val="21"/>
              <w:autoSpaceDE/>
              <w:autoSpaceDN/>
              <w:adjustRightInd/>
              <w:snapToGrid w:val="0"/>
              <w:spacing w:line="520" w:lineRule="exact"/>
              <w:ind w:firstLine="462" w:firstLineChars="200"/>
              <w:contextualSpacing/>
              <w:jc w:val="both"/>
              <w:rPr>
                <w:rFonts w:ascii="Times New Roman"/>
              </w:rPr>
            </w:pPr>
            <w:r>
              <w:rPr>
                <w:rFonts w:hint="eastAsia" w:ascii="Times New Roman"/>
              </w:rPr>
              <w:t>（2）规划相符性分析</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根据《君山区柳林洲镇镇区排水专项规划》（2014~2020）规划目标：“以完善污水收集系统，提高城市污水综合处理能力，逐步实现污水资源化，提高水资源的利用率，使经济发展与生态平衡统一为目标。规划末期，管网覆盖率达到95%以上，生活污水处理率达到95%以上，工业污水处理率达到100%。规划区域内建成完整、顺畅的雨水排放系统及防洪排渍系统”。综上所</w:t>
            </w:r>
            <w:r>
              <w:rPr>
                <w:rFonts w:hint="eastAsia" w:ascii="Times New Roman"/>
              </w:rPr>
              <w:t>述，本项目建设符合</w:t>
            </w:r>
            <w:r>
              <w:rPr>
                <w:rFonts w:ascii="Times New Roman"/>
              </w:rPr>
              <w:t>君山区柳林洲镇</w:t>
            </w:r>
            <w:r>
              <w:rPr>
                <w:rFonts w:hint="eastAsia" w:ascii="Times New Roman"/>
              </w:rPr>
              <w:t>排水规划的要求。</w:t>
            </w:r>
          </w:p>
          <w:p>
            <w:pPr>
              <w:snapToGrid w:val="0"/>
              <w:spacing w:line="520" w:lineRule="exact"/>
              <w:ind w:firstLine="542" w:firstLineChars="200"/>
              <w:contextualSpacing/>
              <w:rPr>
                <w:b/>
                <w:color w:val="000000"/>
                <w:sz w:val="28"/>
                <w:szCs w:val="28"/>
              </w:rPr>
            </w:pPr>
            <w:r>
              <w:rPr>
                <w:rFonts w:hint="eastAsia"/>
                <w:b/>
                <w:color w:val="000000"/>
                <w:sz w:val="28"/>
                <w:szCs w:val="28"/>
              </w:rPr>
              <w:t>6、项目环保投资</w:t>
            </w:r>
          </w:p>
          <w:p>
            <w:pPr>
              <w:pStyle w:val="21"/>
              <w:autoSpaceDE/>
              <w:autoSpaceDN/>
              <w:adjustRightInd/>
              <w:snapToGrid w:val="0"/>
              <w:spacing w:line="520" w:lineRule="exact"/>
              <w:ind w:firstLine="462" w:firstLineChars="200"/>
              <w:contextualSpacing/>
              <w:jc w:val="both"/>
              <w:rPr>
                <w:rFonts w:ascii="Times New Roman"/>
              </w:rPr>
            </w:pPr>
            <w:r>
              <w:rPr>
                <w:rFonts w:ascii="Times New Roman"/>
              </w:rPr>
              <w:t>本项目总投资</w:t>
            </w:r>
            <w:r>
              <w:rPr>
                <w:rFonts w:hint="eastAsia" w:ascii="Times New Roman"/>
              </w:rPr>
              <w:t>8383.05</w:t>
            </w:r>
            <w:r>
              <w:rPr>
                <w:rFonts w:ascii="Times New Roman"/>
              </w:rPr>
              <w:t>万元，环保投资估算为</w:t>
            </w:r>
            <w:r>
              <w:rPr>
                <w:rFonts w:hint="eastAsia" w:ascii="Times New Roman"/>
              </w:rPr>
              <w:t>128</w:t>
            </w:r>
            <w:r>
              <w:rPr>
                <w:rFonts w:ascii="Times New Roman"/>
              </w:rPr>
              <w:t>万元，主要为废水处理设施、废气处理设施、隔声降噪设施、固废治理设施等，</w:t>
            </w:r>
            <w:r>
              <w:rPr>
                <w:rFonts w:hint="eastAsia" w:ascii="Times New Roman"/>
              </w:rPr>
              <w:t>约</w:t>
            </w:r>
            <w:r>
              <w:rPr>
                <w:rFonts w:ascii="Times New Roman"/>
              </w:rPr>
              <w:t>占项目总投资的</w:t>
            </w:r>
            <w:r>
              <w:rPr>
                <w:rFonts w:hint="eastAsia" w:ascii="Times New Roman"/>
              </w:rPr>
              <w:t>1.53%。</w:t>
            </w:r>
          </w:p>
          <w:p>
            <w:pPr>
              <w:spacing w:before="162" w:beforeLines="50"/>
              <w:jc w:val="center"/>
              <w:rPr>
                <w:rFonts w:hAnsi="宋体"/>
                <w:b/>
                <w:kern w:val="28"/>
                <w:sz w:val="24"/>
                <w:szCs w:val="24"/>
                <w:lang w:val="zh-CN"/>
              </w:rPr>
            </w:pPr>
            <w:r>
              <w:rPr>
                <w:rFonts w:hAnsi="宋体"/>
                <w:b/>
                <w:kern w:val="28"/>
                <w:sz w:val="24"/>
                <w:szCs w:val="24"/>
                <w:lang w:val="zh-CN"/>
              </w:rPr>
              <w:t>表</w:t>
            </w:r>
            <w:r>
              <w:rPr>
                <w:rFonts w:hint="eastAsia" w:hAnsi="宋体"/>
                <w:b/>
                <w:kern w:val="28"/>
                <w:sz w:val="24"/>
                <w:szCs w:val="24"/>
              </w:rPr>
              <w:t xml:space="preserve">7-3 </w:t>
            </w:r>
            <w:r>
              <w:rPr>
                <w:b/>
                <w:kern w:val="28"/>
                <w:sz w:val="24"/>
                <w:szCs w:val="24"/>
                <w:lang w:val="zh-CN"/>
              </w:rPr>
              <w:t xml:space="preserve"> </w:t>
            </w:r>
            <w:r>
              <w:rPr>
                <w:rFonts w:hAnsi="宋体"/>
                <w:b/>
                <w:kern w:val="28"/>
                <w:sz w:val="24"/>
                <w:szCs w:val="24"/>
                <w:lang w:val="zh-CN"/>
              </w:rPr>
              <w:t>环保投资一览表</w:t>
            </w:r>
          </w:p>
          <w:tbl>
            <w:tblPr>
              <w:tblStyle w:val="19"/>
              <w:tblW w:w="906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4"/>
              <w:gridCol w:w="2039"/>
              <w:gridCol w:w="3286"/>
              <w:gridCol w:w="875"/>
              <w:gridCol w:w="935"/>
              <w:gridCol w:w="12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rFonts w:hint="eastAsia"/>
                      <w:szCs w:val="21"/>
                    </w:rPr>
                    <w:t>序号</w:t>
                  </w:r>
                </w:p>
              </w:tc>
              <w:tc>
                <w:tcPr>
                  <w:tcW w:w="2039" w:type="dxa"/>
                  <w:vAlign w:val="center"/>
                </w:tcPr>
                <w:p>
                  <w:pPr>
                    <w:snapToGrid w:val="0"/>
                    <w:spacing w:line="360" w:lineRule="exact"/>
                    <w:contextualSpacing/>
                    <w:jc w:val="center"/>
                    <w:rPr>
                      <w:szCs w:val="21"/>
                    </w:rPr>
                  </w:pPr>
                  <w:r>
                    <w:rPr>
                      <w:szCs w:val="21"/>
                    </w:rPr>
                    <w:t>项目</w:t>
                  </w:r>
                </w:p>
              </w:tc>
              <w:tc>
                <w:tcPr>
                  <w:tcW w:w="3286" w:type="dxa"/>
                  <w:vAlign w:val="center"/>
                </w:tcPr>
                <w:p>
                  <w:pPr>
                    <w:snapToGrid w:val="0"/>
                    <w:spacing w:line="360" w:lineRule="exact"/>
                    <w:contextualSpacing/>
                    <w:jc w:val="center"/>
                    <w:rPr>
                      <w:szCs w:val="21"/>
                    </w:rPr>
                  </w:pPr>
                  <w:r>
                    <w:rPr>
                      <w:szCs w:val="21"/>
                    </w:rPr>
                    <w:t>环保措施</w:t>
                  </w:r>
                </w:p>
              </w:tc>
              <w:tc>
                <w:tcPr>
                  <w:tcW w:w="875" w:type="dxa"/>
                  <w:vAlign w:val="center"/>
                </w:tcPr>
                <w:p>
                  <w:pPr>
                    <w:snapToGrid w:val="0"/>
                    <w:spacing w:line="360" w:lineRule="exact"/>
                    <w:contextualSpacing/>
                    <w:jc w:val="center"/>
                    <w:rPr>
                      <w:szCs w:val="21"/>
                    </w:rPr>
                  </w:pPr>
                  <w:r>
                    <w:rPr>
                      <w:szCs w:val="21"/>
                    </w:rPr>
                    <w:t>单位</w:t>
                  </w:r>
                </w:p>
              </w:tc>
              <w:tc>
                <w:tcPr>
                  <w:tcW w:w="935" w:type="dxa"/>
                  <w:vAlign w:val="center"/>
                </w:tcPr>
                <w:p>
                  <w:pPr>
                    <w:snapToGrid w:val="0"/>
                    <w:spacing w:line="360" w:lineRule="exact"/>
                    <w:contextualSpacing/>
                    <w:jc w:val="center"/>
                    <w:rPr>
                      <w:szCs w:val="21"/>
                    </w:rPr>
                  </w:pPr>
                  <w:r>
                    <w:rPr>
                      <w:szCs w:val="21"/>
                    </w:rPr>
                    <w:t>数量</w:t>
                  </w:r>
                </w:p>
              </w:tc>
              <w:tc>
                <w:tcPr>
                  <w:tcW w:w="1280" w:type="dxa"/>
                  <w:vAlign w:val="center"/>
                </w:tcPr>
                <w:p>
                  <w:pPr>
                    <w:snapToGrid w:val="0"/>
                    <w:spacing w:line="360" w:lineRule="exact"/>
                    <w:contextualSpacing/>
                    <w:jc w:val="center"/>
                    <w:rPr>
                      <w:szCs w:val="21"/>
                    </w:rPr>
                  </w:pPr>
                  <w:r>
                    <w:rPr>
                      <w:szCs w:val="21"/>
                    </w:rPr>
                    <w:t>投资（万元）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szCs w:val="21"/>
                    </w:rPr>
                    <w:t>1</w:t>
                  </w:r>
                </w:p>
              </w:tc>
              <w:tc>
                <w:tcPr>
                  <w:tcW w:w="2039" w:type="dxa"/>
                  <w:vAlign w:val="center"/>
                </w:tcPr>
                <w:p>
                  <w:pPr>
                    <w:snapToGrid w:val="0"/>
                    <w:spacing w:line="360" w:lineRule="exact"/>
                    <w:contextualSpacing/>
                    <w:jc w:val="center"/>
                    <w:rPr>
                      <w:szCs w:val="21"/>
                    </w:rPr>
                  </w:pPr>
                  <w:r>
                    <w:rPr>
                      <w:szCs w:val="21"/>
                    </w:rPr>
                    <w:t>大气污染治理</w:t>
                  </w:r>
                </w:p>
              </w:tc>
              <w:tc>
                <w:tcPr>
                  <w:tcW w:w="3286" w:type="dxa"/>
                  <w:vAlign w:val="center"/>
                </w:tcPr>
                <w:p>
                  <w:pPr>
                    <w:snapToGrid w:val="0"/>
                    <w:spacing w:line="360" w:lineRule="exact"/>
                    <w:contextualSpacing/>
                    <w:jc w:val="center"/>
                    <w:rPr>
                      <w:szCs w:val="21"/>
                    </w:rPr>
                  </w:pPr>
                  <w:r>
                    <w:rPr>
                      <w:rFonts w:hint="eastAsia"/>
                      <w:szCs w:val="21"/>
                    </w:rPr>
                    <w:t>施工洒水抑尘、围栏</w:t>
                  </w:r>
                </w:p>
              </w:tc>
              <w:tc>
                <w:tcPr>
                  <w:tcW w:w="875" w:type="dxa"/>
                  <w:vAlign w:val="center"/>
                </w:tcPr>
                <w:p>
                  <w:pPr>
                    <w:snapToGrid w:val="0"/>
                    <w:spacing w:line="360" w:lineRule="exact"/>
                    <w:contextualSpacing/>
                    <w:jc w:val="center"/>
                    <w:rPr>
                      <w:szCs w:val="21"/>
                    </w:rPr>
                  </w:pPr>
                  <w:r>
                    <w:rPr>
                      <w:szCs w:val="21"/>
                    </w:rPr>
                    <w:t>/</w:t>
                  </w:r>
                </w:p>
              </w:tc>
              <w:tc>
                <w:tcPr>
                  <w:tcW w:w="935" w:type="dxa"/>
                  <w:vAlign w:val="center"/>
                </w:tcPr>
                <w:p>
                  <w:pPr>
                    <w:snapToGrid w:val="0"/>
                    <w:spacing w:line="360" w:lineRule="exact"/>
                    <w:contextualSpacing/>
                    <w:jc w:val="center"/>
                    <w:rPr>
                      <w:szCs w:val="21"/>
                    </w:rPr>
                  </w:pPr>
                  <w:r>
                    <w:rPr>
                      <w:szCs w:val="21"/>
                    </w:rPr>
                    <w:t>/</w:t>
                  </w:r>
                </w:p>
              </w:tc>
              <w:tc>
                <w:tcPr>
                  <w:tcW w:w="1280" w:type="dxa"/>
                  <w:vAlign w:val="center"/>
                </w:tcPr>
                <w:p>
                  <w:pPr>
                    <w:snapToGrid w:val="0"/>
                    <w:spacing w:line="360" w:lineRule="exact"/>
                    <w:contextualSpacing/>
                    <w:jc w:val="center"/>
                    <w:rPr>
                      <w:szCs w:val="21"/>
                    </w:rPr>
                  </w:pPr>
                  <w:r>
                    <w:rPr>
                      <w:rFonts w:hint="eastAsia"/>
                      <w:szCs w:val="21"/>
                    </w:rPr>
                    <w:t>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szCs w:val="21"/>
                    </w:rPr>
                    <w:t>2</w:t>
                  </w:r>
                </w:p>
              </w:tc>
              <w:tc>
                <w:tcPr>
                  <w:tcW w:w="2039" w:type="dxa"/>
                  <w:vAlign w:val="center"/>
                </w:tcPr>
                <w:p>
                  <w:pPr>
                    <w:snapToGrid w:val="0"/>
                    <w:spacing w:line="360" w:lineRule="exact"/>
                    <w:contextualSpacing/>
                    <w:jc w:val="center"/>
                    <w:rPr>
                      <w:szCs w:val="21"/>
                    </w:rPr>
                  </w:pPr>
                  <w:r>
                    <w:rPr>
                      <w:szCs w:val="21"/>
                    </w:rPr>
                    <w:t>施工废水治理</w:t>
                  </w:r>
                </w:p>
              </w:tc>
              <w:tc>
                <w:tcPr>
                  <w:tcW w:w="3286" w:type="dxa"/>
                  <w:vAlign w:val="center"/>
                </w:tcPr>
                <w:p>
                  <w:pPr>
                    <w:pStyle w:val="26"/>
                    <w:snapToGrid w:val="0"/>
                    <w:spacing w:before="0" w:line="360" w:lineRule="exact"/>
                    <w:contextualSpacing/>
                    <w:jc w:val="center"/>
                    <w:outlineLvl w:val="9"/>
                    <w:rPr>
                      <w:sz w:val="21"/>
                      <w:szCs w:val="21"/>
                    </w:rPr>
                  </w:pPr>
                  <w:r>
                    <w:rPr>
                      <w:rFonts w:hint="eastAsia"/>
                      <w:b w:val="0"/>
                      <w:sz w:val="21"/>
                      <w:szCs w:val="21"/>
                    </w:rPr>
                    <w:t>隔油沉淀池</w:t>
                  </w:r>
                </w:p>
              </w:tc>
              <w:tc>
                <w:tcPr>
                  <w:tcW w:w="875" w:type="dxa"/>
                  <w:vAlign w:val="center"/>
                </w:tcPr>
                <w:p>
                  <w:pPr>
                    <w:snapToGrid w:val="0"/>
                    <w:spacing w:line="360" w:lineRule="exact"/>
                    <w:contextualSpacing/>
                    <w:jc w:val="center"/>
                    <w:rPr>
                      <w:szCs w:val="21"/>
                    </w:rPr>
                  </w:pPr>
                  <w:r>
                    <w:rPr>
                      <w:rFonts w:hint="eastAsia"/>
                      <w:szCs w:val="21"/>
                    </w:rPr>
                    <w:t>个</w:t>
                  </w:r>
                </w:p>
              </w:tc>
              <w:tc>
                <w:tcPr>
                  <w:tcW w:w="935" w:type="dxa"/>
                  <w:vAlign w:val="center"/>
                </w:tcPr>
                <w:p>
                  <w:pPr>
                    <w:snapToGrid w:val="0"/>
                    <w:spacing w:line="360" w:lineRule="exact"/>
                    <w:contextualSpacing/>
                    <w:jc w:val="center"/>
                    <w:rPr>
                      <w:szCs w:val="21"/>
                    </w:rPr>
                  </w:pPr>
                  <w:r>
                    <w:rPr>
                      <w:rFonts w:hint="eastAsia"/>
                      <w:szCs w:val="21"/>
                    </w:rPr>
                    <w:t>1</w:t>
                  </w:r>
                </w:p>
              </w:tc>
              <w:tc>
                <w:tcPr>
                  <w:tcW w:w="1280" w:type="dxa"/>
                  <w:vAlign w:val="center"/>
                </w:tcPr>
                <w:p>
                  <w:pPr>
                    <w:snapToGrid w:val="0"/>
                    <w:spacing w:line="360" w:lineRule="exact"/>
                    <w:contextualSpacing/>
                    <w:jc w:val="center"/>
                    <w:rPr>
                      <w:szCs w:val="21"/>
                    </w:rPr>
                  </w:pPr>
                  <w:r>
                    <w:rPr>
                      <w:rFonts w:hint="eastAsia"/>
                      <w:szCs w:val="21"/>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szCs w:val="21"/>
                    </w:rPr>
                    <w:t>3</w:t>
                  </w:r>
                </w:p>
              </w:tc>
              <w:tc>
                <w:tcPr>
                  <w:tcW w:w="2039" w:type="dxa"/>
                  <w:vAlign w:val="center"/>
                </w:tcPr>
                <w:p>
                  <w:pPr>
                    <w:snapToGrid w:val="0"/>
                    <w:spacing w:line="360" w:lineRule="exact"/>
                    <w:contextualSpacing/>
                    <w:jc w:val="center"/>
                    <w:rPr>
                      <w:szCs w:val="21"/>
                    </w:rPr>
                  </w:pPr>
                  <w:r>
                    <w:rPr>
                      <w:szCs w:val="21"/>
                    </w:rPr>
                    <w:t>噪声污染治理</w:t>
                  </w:r>
                </w:p>
              </w:tc>
              <w:tc>
                <w:tcPr>
                  <w:tcW w:w="3286" w:type="dxa"/>
                  <w:vAlign w:val="center"/>
                </w:tcPr>
                <w:p>
                  <w:pPr>
                    <w:snapToGrid w:val="0"/>
                    <w:spacing w:line="360" w:lineRule="exact"/>
                    <w:contextualSpacing/>
                    <w:jc w:val="center"/>
                    <w:rPr>
                      <w:szCs w:val="21"/>
                    </w:rPr>
                  </w:pPr>
                  <w:r>
                    <w:rPr>
                      <w:szCs w:val="21"/>
                    </w:rPr>
                    <w:t>围挡、低噪声设备</w:t>
                  </w:r>
                </w:p>
              </w:tc>
              <w:tc>
                <w:tcPr>
                  <w:tcW w:w="875" w:type="dxa"/>
                  <w:vAlign w:val="center"/>
                </w:tcPr>
                <w:p>
                  <w:pPr>
                    <w:snapToGrid w:val="0"/>
                    <w:spacing w:line="360" w:lineRule="exact"/>
                    <w:contextualSpacing/>
                    <w:jc w:val="center"/>
                    <w:rPr>
                      <w:szCs w:val="21"/>
                    </w:rPr>
                  </w:pPr>
                  <w:r>
                    <w:rPr>
                      <w:szCs w:val="21"/>
                    </w:rPr>
                    <w:t>/</w:t>
                  </w:r>
                </w:p>
              </w:tc>
              <w:tc>
                <w:tcPr>
                  <w:tcW w:w="935" w:type="dxa"/>
                  <w:vAlign w:val="center"/>
                </w:tcPr>
                <w:p>
                  <w:pPr>
                    <w:snapToGrid w:val="0"/>
                    <w:spacing w:line="360" w:lineRule="exact"/>
                    <w:contextualSpacing/>
                    <w:jc w:val="center"/>
                    <w:rPr>
                      <w:szCs w:val="21"/>
                    </w:rPr>
                  </w:pPr>
                  <w:r>
                    <w:rPr>
                      <w:szCs w:val="21"/>
                    </w:rPr>
                    <w:t>/</w:t>
                  </w:r>
                </w:p>
              </w:tc>
              <w:tc>
                <w:tcPr>
                  <w:tcW w:w="1280" w:type="dxa"/>
                  <w:vAlign w:val="center"/>
                </w:tcPr>
                <w:p>
                  <w:pPr>
                    <w:snapToGrid w:val="0"/>
                    <w:spacing w:line="360" w:lineRule="exact"/>
                    <w:contextualSpacing/>
                    <w:jc w:val="center"/>
                    <w:rPr>
                      <w:szCs w:val="21"/>
                    </w:rPr>
                  </w:pPr>
                  <w:r>
                    <w:rPr>
                      <w:rFonts w:hint="eastAsia"/>
                      <w:szCs w:val="21"/>
                    </w:rPr>
                    <w:t>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rFonts w:hint="eastAsia"/>
                      <w:szCs w:val="21"/>
                    </w:rPr>
                    <w:t>4</w:t>
                  </w:r>
                </w:p>
              </w:tc>
              <w:tc>
                <w:tcPr>
                  <w:tcW w:w="2039" w:type="dxa"/>
                  <w:vAlign w:val="center"/>
                </w:tcPr>
                <w:p>
                  <w:pPr>
                    <w:snapToGrid w:val="0"/>
                    <w:spacing w:line="360" w:lineRule="exact"/>
                    <w:contextualSpacing/>
                    <w:jc w:val="center"/>
                    <w:rPr>
                      <w:szCs w:val="21"/>
                    </w:rPr>
                  </w:pPr>
                  <w:r>
                    <w:rPr>
                      <w:rFonts w:hint="eastAsia"/>
                      <w:bCs/>
                      <w:szCs w:val="21"/>
                    </w:rPr>
                    <w:t>固废治理</w:t>
                  </w:r>
                </w:p>
              </w:tc>
              <w:tc>
                <w:tcPr>
                  <w:tcW w:w="3286" w:type="dxa"/>
                  <w:vAlign w:val="center"/>
                </w:tcPr>
                <w:p>
                  <w:pPr>
                    <w:pStyle w:val="26"/>
                    <w:snapToGrid w:val="0"/>
                    <w:spacing w:before="0" w:line="360" w:lineRule="exact"/>
                    <w:contextualSpacing/>
                    <w:jc w:val="center"/>
                    <w:outlineLvl w:val="9"/>
                    <w:rPr>
                      <w:sz w:val="21"/>
                      <w:szCs w:val="21"/>
                    </w:rPr>
                  </w:pPr>
                  <w:r>
                    <w:rPr>
                      <w:rFonts w:hint="eastAsia"/>
                      <w:b w:val="0"/>
                      <w:sz w:val="21"/>
                      <w:szCs w:val="21"/>
                    </w:rPr>
                    <w:t>回收利用建筑垃圾、筑路材料运至渣土部门指定点</w:t>
                  </w:r>
                </w:p>
              </w:tc>
              <w:tc>
                <w:tcPr>
                  <w:tcW w:w="875" w:type="dxa"/>
                  <w:vAlign w:val="center"/>
                </w:tcPr>
                <w:p>
                  <w:pPr>
                    <w:snapToGrid w:val="0"/>
                    <w:spacing w:line="360" w:lineRule="exact"/>
                    <w:contextualSpacing/>
                    <w:jc w:val="center"/>
                    <w:rPr>
                      <w:szCs w:val="21"/>
                    </w:rPr>
                  </w:pPr>
                  <w:r>
                    <w:rPr>
                      <w:rFonts w:hint="eastAsia"/>
                      <w:szCs w:val="21"/>
                    </w:rPr>
                    <w:t>/</w:t>
                  </w:r>
                </w:p>
              </w:tc>
              <w:tc>
                <w:tcPr>
                  <w:tcW w:w="935" w:type="dxa"/>
                  <w:vAlign w:val="center"/>
                </w:tcPr>
                <w:p>
                  <w:pPr>
                    <w:snapToGrid w:val="0"/>
                    <w:spacing w:line="360" w:lineRule="exact"/>
                    <w:contextualSpacing/>
                    <w:jc w:val="center"/>
                    <w:rPr>
                      <w:szCs w:val="21"/>
                    </w:rPr>
                  </w:pPr>
                  <w:r>
                    <w:rPr>
                      <w:rFonts w:hint="eastAsia"/>
                      <w:szCs w:val="21"/>
                    </w:rPr>
                    <w:t>/</w:t>
                  </w:r>
                </w:p>
              </w:tc>
              <w:tc>
                <w:tcPr>
                  <w:tcW w:w="1280" w:type="dxa"/>
                  <w:vAlign w:val="center"/>
                </w:tcPr>
                <w:p>
                  <w:pPr>
                    <w:snapToGrid w:val="0"/>
                    <w:spacing w:line="360" w:lineRule="exact"/>
                    <w:contextualSpacing/>
                    <w:jc w:val="center"/>
                    <w:rPr>
                      <w:szCs w:val="21"/>
                    </w:rPr>
                  </w:pPr>
                  <w:r>
                    <w:rPr>
                      <w:rFonts w:hint="eastAsia"/>
                      <w:szCs w:val="21"/>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654" w:type="dxa"/>
                  <w:vAlign w:val="center"/>
                </w:tcPr>
                <w:p>
                  <w:pPr>
                    <w:snapToGrid w:val="0"/>
                    <w:spacing w:line="360" w:lineRule="exact"/>
                    <w:contextualSpacing/>
                    <w:jc w:val="center"/>
                    <w:rPr>
                      <w:szCs w:val="21"/>
                    </w:rPr>
                  </w:pPr>
                  <w:r>
                    <w:rPr>
                      <w:rFonts w:hint="eastAsia"/>
                      <w:szCs w:val="21"/>
                    </w:rPr>
                    <w:t>6</w:t>
                  </w:r>
                </w:p>
              </w:tc>
              <w:tc>
                <w:tcPr>
                  <w:tcW w:w="2039" w:type="dxa"/>
                  <w:vAlign w:val="center"/>
                </w:tcPr>
                <w:p>
                  <w:pPr>
                    <w:snapToGrid w:val="0"/>
                    <w:spacing w:line="360" w:lineRule="exact"/>
                    <w:contextualSpacing/>
                    <w:jc w:val="center"/>
                    <w:rPr>
                      <w:bCs/>
                      <w:szCs w:val="21"/>
                    </w:rPr>
                  </w:pPr>
                  <w:r>
                    <w:rPr>
                      <w:rFonts w:hint="eastAsia"/>
                      <w:bCs/>
                      <w:szCs w:val="21"/>
                    </w:rPr>
                    <w:t>生态保护措施</w:t>
                  </w:r>
                </w:p>
              </w:tc>
              <w:tc>
                <w:tcPr>
                  <w:tcW w:w="3286" w:type="dxa"/>
                  <w:vAlign w:val="center"/>
                </w:tcPr>
                <w:p>
                  <w:pPr>
                    <w:pStyle w:val="26"/>
                    <w:snapToGrid w:val="0"/>
                    <w:spacing w:before="0" w:line="360" w:lineRule="exact"/>
                    <w:contextualSpacing/>
                    <w:jc w:val="center"/>
                    <w:outlineLvl w:val="9"/>
                    <w:rPr>
                      <w:b w:val="0"/>
                      <w:sz w:val="21"/>
                      <w:szCs w:val="21"/>
                    </w:rPr>
                  </w:pPr>
                  <w:r>
                    <w:rPr>
                      <w:rFonts w:hint="eastAsia"/>
                      <w:b w:val="0"/>
                      <w:sz w:val="21"/>
                      <w:szCs w:val="21"/>
                    </w:rPr>
                    <w:t>水土流失防护、管线沿线地面恢复情况</w:t>
                  </w:r>
                </w:p>
              </w:tc>
              <w:tc>
                <w:tcPr>
                  <w:tcW w:w="875" w:type="dxa"/>
                  <w:vAlign w:val="center"/>
                </w:tcPr>
                <w:p>
                  <w:pPr>
                    <w:snapToGrid w:val="0"/>
                    <w:spacing w:line="360" w:lineRule="exact"/>
                    <w:contextualSpacing/>
                    <w:jc w:val="center"/>
                    <w:rPr>
                      <w:szCs w:val="21"/>
                    </w:rPr>
                  </w:pPr>
                  <w:r>
                    <w:rPr>
                      <w:rFonts w:hint="eastAsia"/>
                      <w:szCs w:val="21"/>
                    </w:rPr>
                    <w:t>/</w:t>
                  </w:r>
                </w:p>
              </w:tc>
              <w:tc>
                <w:tcPr>
                  <w:tcW w:w="935" w:type="dxa"/>
                  <w:vAlign w:val="center"/>
                </w:tcPr>
                <w:p>
                  <w:pPr>
                    <w:snapToGrid w:val="0"/>
                    <w:spacing w:line="360" w:lineRule="exact"/>
                    <w:contextualSpacing/>
                    <w:jc w:val="center"/>
                    <w:rPr>
                      <w:szCs w:val="21"/>
                    </w:rPr>
                  </w:pPr>
                  <w:r>
                    <w:rPr>
                      <w:rFonts w:hint="eastAsia"/>
                      <w:szCs w:val="21"/>
                    </w:rPr>
                    <w:t>/</w:t>
                  </w:r>
                </w:p>
              </w:tc>
              <w:tc>
                <w:tcPr>
                  <w:tcW w:w="1280" w:type="dxa"/>
                  <w:vAlign w:val="center"/>
                </w:tcPr>
                <w:p>
                  <w:pPr>
                    <w:snapToGrid w:val="0"/>
                    <w:spacing w:line="360" w:lineRule="exact"/>
                    <w:contextualSpacing/>
                    <w:jc w:val="center"/>
                    <w:rPr>
                      <w:szCs w:val="21"/>
                    </w:rPr>
                  </w:pPr>
                  <w:r>
                    <w:rPr>
                      <w:rFonts w:hint="eastAsia"/>
                      <w:szCs w:val="21"/>
                    </w:rPr>
                    <w:t>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2693" w:type="dxa"/>
                  <w:gridSpan w:val="2"/>
                  <w:vAlign w:val="center"/>
                </w:tcPr>
                <w:p>
                  <w:pPr>
                    <w:snapToGrid w:val="0"/>
                    <w:spacing w:line="360" w:lineRule="exact"/>
                    <w:ind w:firstLine="420"/>
                    <w:contextualSpacing/>
                    <w:jc w:val="center"/>
                    <w:rPr>
                      <w:szCs w:val="21"/>
                    </w:rPr>
                  </w:pPr>
                  <w:r>
                    <w:rPr>
                      <w:szCs w:val="21"/>
                    </w:rPr>
                    <w:t>合计</w:t>
                  </w:r>
                </w:p>
              </w:tc>
              <w:tc>
                <w:tcPr>
                  <w:tcW w:w="3286" w:type="dxa"/>
                  <w:vAlign w:val="center"/>
                </w:tcPr>
                <w:p>
                  <w:pPr>
                    <w:snapToGrid w:val="0"/>
                    <w:spacing w:line="360" w:lineRule="exact"/>
                    <w:ind w:firstLine="420"/>
                    <w:contextualSpacing/>
                    <w:jc w:val="center"/>
                    <w:rPr>
                      <w:szCs w:val="21"/>
                    </w:rPr>
                  </w:pPr>
                  <w:r>
                    <w:rPr>
                      <w:szCs w:val="21"/>
                    </w:rPr>
                    <w:t>/</w:t>
                  </w:r>
                </w:p>
              </w:tc>
              <w:tc>
                <w:tcPr>
                  <w:tcW w:w="3090" w:type="dxa"/>
                  <w:gridSpan w:val="3"/>
                  <w:vAlign w:val="center"/>
                </w:tcPr>
                <w:p>
                  <w:pPr>
                    <w:snapToGrid w:val="0"/>
                    <w:spacing w:line="360" w:lineRule="exact"/>
                    <w:contextualSpacing/>
                    <w:jc w:val="center"/>
                    <w:rPr>
                      <w:szCs w:val="21"/>
                    </w:rPr>
                  </w:pPr>
                  <w:r>
                    <w:rPr>
                      <w:rFonts w:hint="eastAsia"/>
                      <w:szCs w:val="21"/>
                    </w:rPr>
                    <w:t>128</w:t>
                  </w:r>
                </w:p>
              </w:tc>
            </w:tr>
          </w:tbl>
          <w:p>
            <w:pPr>
              <w:snapToGrid w:val="0"/>
              <w:spacing w:line="520" w:lineRule="exact"/>
              <w:ind w:firstLine="542" w:firstLineChars="200"/>
              <w:contextualSpacing/>
              <w:rPr>
                <w:b/>
                <w:color w:val="000000"/>
                <w:sz w:val="28"/>
                <w:szCs w:val="28"/>
              </w:rPr>
            </w:pPr>
            <w:r>
              <w:rPr>
                <w:rFonts w:hint="eastAsia"/>
                <w:b/>
                <w:color w:val="000000"/>
                <w:sz w:val="28"/>
                <w:szCs w:val="28"/>
              </w:rPr>
              <w:t>6、环保设施验收</w:t>
            </w:r>
          </w:p>
          <w:p>
            <w:pPr>
              <w:pStyle w:val="21"/>
              <w:autoSpaceDE/>
              <w:autoSpaceDN/>
              <w:adjustRightInd/>
              <w:snapToGrid w:val="0"/>
              <w:spacing w:line="520" w:lineRule="exact"/>
              <w:ind w:firstLine="462" w:firstLineChars="200"/>
              <w:contextualSpacing/>
              <w:jc w:val="both"/>
              <w:rPr>
                <w:rFonts w:ascii="Times New Roman"/>
              </w:rPr>
            </w:pPr>
            <w:r>
              <w:rPr>
                <w:rFonts w:hint="eastAsia" w:ascii="Times New Roman"/>
              </w:rPr>
              <w:t>拟建环保设施验收见表7-4。</w:t>
            </w:r>
          </w:p>
          <w:p>
            <w:pPr>
              <w:spacing w:before="162" w:beforeLines="50"/>
              <w:jc w:val="center"/>
              <w:rPr>
                <w:rFonts w:hAnsi="宋体"/>
                <w:b/>
                <w:kern w:val="28"/>
                <w:sz w:val="24"/>
                <w:szCs w:val="24"/>
                <w:lang w:val="zh-CN"/>
              </w:rPr>
            </w:pPr>
            <w:r>
              <w:rPr>
                <w:rFonts w:hAnsi="宋体"/>
                <w:b/>
                <w:kern w:val="28"/>
                <w:sz w:val="24"/>
                <w:szCs w:val="24"/>
                <w:lang w:val="zh-CN"/>
              </w:rPr>
              <w:t>表</w:t>
            </w:r>
            <w:r>
              <w:rPr>
                <w:rFonts w:hint="eastAsia" w:hAnsi="宋体"/>
                <w:b/>
                <w:kern w:val="28"/>
                <w:sz w:val="24"/>
                <w:szCs w:val="24"/>
                <w:lang w:val="zh-CN"/>
              </w:rPr>
              <w:t>7-4</w:t>
            </w:r>
            <w:r>
              <w:rPr>
                <w:rFonts w:hAnsi="宋体"/>
                <w:b/>
                <w:kern w:val="28"/>
                <w:sz w:val="24"/>
                <w:szCs w:val="24"/>
                <w:lang w:val="zh-CN"/>
              </w:rPr>
              <w:t xml:space="preserve">  </w:t>
            </w:r>
            <w:r>
              <w:rPr>
                <w:rFonts w:hint="eastAsia" w:hAnsi="宋体"/>
                <w:b/>
                <w:kern w:val="28"/>
                <w:sz w:val="24"/>
                <w:szCs w:val="24"/>
                <w:lang w:val="zh-CN"/>
              </w:rPr>
              <w:t>项目环保设施验收一览表</w:t>
            </w:r>
          </w:p>
          <w:tbl>
            <w:tblPr>
              <w:tblStyle w:val="19"/>
              <w:tblW w:w="906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7"/>
              <w:gridCol w:w="813"/>
              <w:gridCol w:w="4536"/>
              <w:gridCol w:w="29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9" w:hRule="atLeast"/>
              </w:trPr>
              <w:tc>
                <w:tcPr>
                  <w:tcW w:w="787" w:type="dxa"/>
                  <w:vAlign w:val="center"/>
                </w:tcPr>
                <w:p>
                  <w:pPr>
                    <w:snapToGrid w:val="0"/>
                    <w:spacing w:line="360" w:lineRule="exact"/>
                    <w:contextualSpacing/>
                    <w:jc w:val="center"/>
                    <w:rPr>
                      <w:szCs w:val="21"/>
                    </w:rPr>
                  </w:pPr>
                  <w:r>
                    <w:rPr>
                      <w:szCs w:val="21"/>
                    </w:rPr>
                    <w:t>时段</w:t>
                  </w:r>
                </w:p>
              </w:tc>
              <w:tc>
                <w:tcPr>
                  <w:tcW w:w="813" w:type="dxa"/>
                  <w:vAlign w:val="center"/>
                </w:tcPr>
                <w:p>
                  <w:pPr>
                    <w:snapToGrid w:val="0"/>
                    <w:spacing w:line="360" w:lineRule="exact"/>
                    <w:contextualSpacing/>
                    <w:jc w:val="center"/>
                    <w:rPr>
                      <w:szCs w:val="21"/>
                    </w:rPr>
                  </w:pPr>
                  <w:r>
                    <w:rPr>
                      <w:rFonts w:hint="eastAsia"/>
                      <w:szCs w:val="21"/>
                    </w:rPr>
                    <w:t>项目</w:t>
                  </w:r>
                </w:p>
              </w:tc>
              <w:tc>
                <w:tcPr>
                  <w:tcW w:w="4536" w:type="dxa"/>
                  <w:vAlign w:val="center"/>
                </w:tcPr>
                <w:p>
                  <w:pPr>
                    <w:snapToGrid w:val="0"/>
                    <w:spacing w:line="360" w:lineRule="exact"/>
                    <w:contextualSpacing/>
                    <w:jc w:val="center"/>
                    <w:rPr>
                      <w:szCs w:val="21"/>
                    </w:rPr>
                  </w:pPr>
                  <w:r>
                    <w:rPr>
                      <w:szCs w:val="21"/>
                    </w:rPr>
                    <w:t>环保设施</w:t>
                  </w:r>
                </w:p>
              </w:tc>
              <w:tc>
                <w:tcPr>
                  <w:tcW w:w="2926" w:type="dxa"/>
                  <w:vAlign w:val="center"/>
                </w:tcPr>
                <w:p>
                  <w:pPr>
                    <w:snapToGrid w:val="0"/>
                    <w:spacing w:line="360" w:lineRule="exact"/>
                    <w:contextualSpacing/>
                    <w:jc w:val="center"/>
                    <w:rPr>
                      <w:szCs w:val="21"/>
                    </w:rPr>
                  </w:pPr>
                  <w:r>
                    <w:rPr>
                      <w:rFonts w:hint="eastAsia"/>
                      <w:szCs w:val="21"/>
                    </w:rPr>
                    <w:t>验收标准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trPr>
              <w:tc>
                <w:tcPr>
                  <w:tcW w:w="787" w:type="dxa"/>
                  <w:vMerge w:val="restart"/>
                  <w:vAlign w:val="center"/>
                </w:tcPr>
                <w:p>
                  <w:pPr>
                    <w:snapToGrid w:val="0"/>
                    <w:spacing w:line="360" w:lineRule="exact"/>
                    <w:contextualSpacing/>
                    <w:jc w:val="center"/>
                    <w:rPr>
                      <w:szCs w:val="21"/>
                    </w:rPr>
                  </w:pPr>
                  <w:r>
                    <w:rPr>
                      <w:szCs w:val="21"/>
                    </w:rPr>
                    <w:t>施</w:t>
                  </w:r>
                </w:p>
                <w:p>
                  <w:pPr>
                    <w:snapToGrid w:val="0"/>
                    <w:spacing w:line="360" w:lineRule="exact"/>
                    <w:contextualSpacing/>
                    <w:jc w:val="center"/>
                    <w:rPr>
                      <w:szCs w:val="21"/>
                    </w:rPr>
                  </w:pPr>
                  <w:r>
                    <w:rPr>
                      <w:szCs w:val="21"/>
                    </w:rPr>
                    <w:t>工</w:t>
                  </w:r>
                </w:p>
                <w:p>
                  <w:pPr>
                    <w:snapToGrid w:val="0"/>
                    <w:spacing w:line="360" w:lineRule="exact"/>
                    <w:contextualSpacing/>
                    <w:jc w:val="center"/>
                    <w:rPr>
                      <w:szCs w:val="21"/>
                    </w:rPr>
                  </w:pPr>
                  <w:r>
                    <w:rPr>
                      <w:szCs w:val="21"/>
                    </w:rPr>
                    <w:t>期</w:t>
                  </w:r>
                </w:p>
              </w:tc>
              <w:tc>
                <w:tcPr>
                  <w:tcW w:w="813" w:type="dxa"/>
                  <w:vAlign w:val="center"/>
                </w:tcPr>
                <w:p>
                  <w:pPr>
                    <w:snapToGrid w:val="0"/>
                    <w:spacing w:line="360" w:lineRule="exact"/>
                    <w:contextualSpacing/>
                    <w:jc w:val="center"/>
                    <w:rPr>
                      <w:szCs w:val="21"/>
                    </w:rPr>
                  </w:pPr>
                  <w:r>
                    <w:rPr>
                      <w:szCs w:val="21"/>
                    </w:rPr>
                    <w:t>生态破坏</w:t>
                  </w:r>
                </w:p>
              </w:tc>
              <w:tc>
                <w:tcPr>
                  <w:tcW w:w="4536" w:type="dxa"/>
                  <w:vAlign w:val="center"/>
                </w:tcPr>
                <w:p>
                  <w:pPr>
                    <w:snapToGrid w:val="0"/>
                    <w:spacing w:line="360" w:lineRule="exact"/>
                    <w:contextualSpacing/>
                    <w:jc w:val="center"/>
                    <w:rPr>
                      <w:szCs w:val="21"/>
                    </w:rPr>
                  </w:pPr>
                  <w:r>
                    <w:rPr>
                      <w:rFonts w:hint="eastAsia"/>
                      <w:szCs w:val="21"/>
                    </w:rPr>
                    <w:t>1</w:t>
                  </w:r>
                  <w:r>
                    <w:rPr>
                      <w:szCs w:val="21"/>
                    </w:rPr>
                    <w:t>、避开雨季施工，做好排水工作，保证排水沟通畅等。</w:t>
                  </w:r>
                </w:p>
                <w:p>
                  <w:pPr>
                    <w:snapToGrid w:val="0"/>
                    <w:spacing w:line="360" w:lineRule="exact"/>
                    <w:contextualSpacing/>
                    <w:jc w:val="center"/>
                    <w:rPr>
                      <w:szCs w:val="21"/>
                    </w:rPr>
                  </w:pPr>
                  <w:r>
                    <w:rPr>
                      <w:rFonts w:hint="eastAsia"/>
                      <w:szCs w:val="21"/>
                    </w:rPr>
                    <w:t>2</w:t>
                  </w:r>
                  <w:r>
                    <w:rPr>
                      <w:szCs w:val="21"/>
                    </w:rPr>
                    <w:t>、及时进行路面及绿化恢复</w:t>
                  </w:r>
                </w:p>
              </w:tc>
              <w:tc>
                <w:tcPr>
                  <w:tcW w:w="2926" w:type="dxa"/>
                  <w:vAlign w:val="center"/>
                </w:tcPr>
                <w:p>
                  <w:pPr>
                    <w:snapToGrid w:val="0"/>
                    <w:spacing w:line="360" w:lineRule="exact"/>
                    <w:contextualSpacing/>
                    <w:jc w:val="center"/>
                    <w:rPr>
                      <w:szCs w:val="21"/>
                    </w:rPr>
                  </w:pPr>
                  <w:r>
                    <w:rPr>
                      <w:rFonts w:hint="eastAsia"/>
                      <w:szCs w:val="21"/>
                    </w:rPr>
                    <w:t>①</w:t>
                  </w:r>
                  <w:r>
                    <w:rPr>
                      <w:szCs w:val="21"/>
                    </w:rPr>
                    <w:t>施工场地等临时占地应及时清理并恢复，项目施工地无建筑垃圾残留。</w:t>
                  </w:r>
                </w:p>
                <w:p>
                  <w:pPr>
                    <w:snapToGrid w:val="0"/>
                    <w:spacing w:line="360" w:lineRule="exact"/>
                    <w:contextualSpacing/>
                    <w:jc w:val="center"/>
                    <w:rPr>
                      <w:szCs w:val="21"/>
                    </w:rPr>
                  </w:pPr>
                  <w:r>
                    <w:rPr>
                      <w:szCs w:val="21"/>
                    </w:rPr>
                    <w:t>②施工结束后，项目区域景观生态情况得以恢复。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0" w:hRule="atLeast"/>
              </w:trPr>
              <w:tc>
                <w:tcPr>
                  <w:tcW w:w="787" w:type="dxa"/>
                  <w:vMerge w:val="continue"/>
                  <w:vAlign w:val="center"/>
                </w:tcPr>
                <w:p>
                  <w:pPr>
                    <w:snapToGrid w:val="0"/>
                    <w:spacing w:line="360" w:lineRule="exact"/>
                    <w:contextualSpacing/>
                    <w:jc w:val="center"/>
                    <w:rPr>
                      <w:szCs w:val="21"/>
                    </w:rPr>
                  </w:pPr>
                </w:p>
              </w:tc>
              <w:tc>
                <w:tcPr>
                  <w:tcW w:w="813" w:type="dxa"/>
                  <w:vAlign w:val="center"/>
                </w:tcPr>
                <w:p>
                  <w:pPr>
                    <w:snapToGrid w:val="0"/>
                    <w:spacing w:line="360" w:lineRule="exact"/>
                    <w:contextualSpacing/>
                    <w:jc w:val="center"/>
                    <w:rPr>
                      <w:szCs w:val="21"/>
                    </w:rPr>
                  </w:pPr>
                  <w:r>
                    <w:rPr>
                      <w:szCs w:val="21"/>
                    </w:rPr>
                    <w:t>噪声</w:t>
                  </w:r>
                </w:p>
              </w:tc>
              <w:tc>
                <w:tcPr>
                  <w:tcW w:w="4536" w:type="dxa"/>
                  <w:vAlign w:val="center"/>
                </w:tcPr>
                <w:p>
                  <w:pPr>
                    <w:snapToGrid w:val="0"/>
                    <w:spacing w:line="360" w:lineRule="exact"/>
                    <w:contextualSpacing/>
                    <w:jc w:val="center"/>
                    <w:rPr>
                      <w:szCs w:val="21"/>
                    </w:rPr>
                  </w:pPr>
                  <w:r>
                    <w:rPr>
                      <w:szCs w:val="21"/>
                    </w:rPr>
                    <w:t>高噪设备设局部围挡，合理安排施工时间、施工机械设置</w:t>
                  </w:r>
                  <w:r>
                    <w:rPr>
                      <w:rFonts w:hint="eastAsia"/>
                      <w:szCs w:val="21"/>
                    </w:rPr>
                    <w:t>；居民区设置隔声屏</w:t>
                  </w:r>
                </w:p>
              </w:tc>
              <w:tc>
                <w:tcPr>
                  <w:tcW w:w="2926" w:type="dxa"/>
                  <w:vAlign w:val="center"/>
                </w:tcPr>
                <w:p>
                  <w:pPr>
                    <w:snapToGrid w:val="0"/>
                    <w:spacing w:line="360" w:lineRule="exact"/>
                    <w:contextualSpacing/>
                    <w:jc w:val="center"/>
                    <w:rPr>
                      <w:szCs w:val="21"/>
                    </w:rPr>
                  </w:pPr>
                  <w:r>
                    <w:rPr>
                      <w:rFonts w:hint="eastAsia"/>
                      <w:szCs w:val="21"/>
                    </w:rPr>
                    <w:t>达（</w:t>
                  </w:r>
                  <w:r>
                    <w:rPr>
                      <w:szCs w:val="21"/>
                    </w:rPr>
                    <w:t>GB12523</w:t>
                  </w:r>
                  <w:r>
                    <w:rPr>
                      <w:rFonts w:hint="eastAsia"/>
                      <w:szCs w:val="21"/>
                    </w:rPr>
                    <w:t>－</w:t>
                  </w:r>
                  <w:r>
                    <w:rPr>
                      <w:szCs w:val="21"/>
                    </w:rPr>
                    <w:t>2011</w:t>
                  </w:r>
                  <w:r>
                    <w:rPr>
                      <w:rFonts w:hint="eastAsia"/>
                      <w:szCs w:val="21"/>
                    </w:rPr>
                    <w:t>）中标准限值要求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trPr>
              <w:tc>
                <w:tcPr>
                  <w:tcW w:w="787" w:type="dxa"/>
                  <w:vMerge w:val="continue"/>
                  <w:vAlign w:val="center"/>
                </w:tcPr>
                <w:p>
                  <w:pPr>
                    <w:snapToGrid w:val="0"/>
                    <w:spacing w:line="360" w:lineRule="exact"/>
                    <w:contextualSpacing/>
                    <w:jc w:val="center"/>
                    <w:rPr>
                      <w:szCs w:val="21"/>
                    </w:rPr>
                  </w:pPr>
                </w:p>
              </w:tc>
              <w:tc>
                <w:tcPr>
                  <w:tcW w:w="813" w:type="dxa"/>
                  <w:vAlign w:val="center"/>
                </w:tcPr>
                <w:p>
                  <w:pPr>
                    <w:snapToGrid w:val="0"/>
                    <w:spacing w:line="360" w:lineRule="exact"/>
                    <w:contextualSpacing/>
                    <w:jc w:val="center"/>
                    <w:rPr>
                      <w:szCs w:val="21"/>
                    </w:rPr>
                  </w:pPr>
                  <w:r>
                    <w:rPr>
                      <w:szCs w:val="21"/>
                    </w:rPr>
                    <w:t>废水</w:t>
                  </w:r>
                </w:p>
              </w:tc>
              <w:tc>
                <w:tcPr>
                  <w:tcW w:w="4536" w:type="dxa"/>
                  <w:vAlign w:val="center"/>
                </w:tcPr>
                <w:p>
                  <w:pPr>
                    <w:snapToGrid w:val="0"/>
                    <w:spacing w:line="360" w:lineRule="exact"/>
                    <w:contextualSpacing/>
                    <w:jc w:val="center"/>
                    <w:rPr>
                      <w:szCs w:val="21"/>
                    </w:rPr>
                  </w:pPr>
                  <w:r>
                    <w:rPr>
                      <w:rFonts w:hint="eastAsia"/>
                      <w:szCs w:val="21"/>
                    </w:rPr>
                    <w:t>施工</w:t>
                  </w:r>
                  <w:r>
                    <w:rPr>
                      <w:szCs w:val="21"/>
                    </w:rPr>
                    <w:t>废水设沉淀池处理</w:t>
                  </w:r>
                  <w:r>
                    <w:rPr>
                      <w:rFonts w:hint="eastAsia"/>
                      <w:szCs w:val="21"/>
                    </w:rPr>
                    <w:t>后用于洒水降尘</w:t>
                  </w:r>
                </w:p>
              </w:tc>
              <w:tc>
                <w:tcPr>
                  <w:tcW w:w="2926" w:type="dxa"/>
                  <w:vAlign w:val="center"/>
                </w:tcPr>
                <w:p>
                  <w:pPr>
                    <w:snapToGrid w:val="0"/>
                    <w:spacing w:line="360" w:lineRule="exact"/>
                    <w:contextualSpacing/>
                    <w:jc w:val="center"/>
                    <w:rPr>
                      <w:szCs w:val="21"/>
                    </w:rPr>
                  </w:pPr>
                  <w:r>
                    <w:rPr>
                      <w:rFonts w:hint="eastAsia"/>
                      <w:szCs w:val="21"/>
                    </w:rPr>
                    <w:t>调查施工期废水保护措施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84" w:hRule="atLeast"/>
              </w:trPr>
              <w:tc>
                <w:tcPr>
                  <w:tcW w:w="787" w:type="dxa"/>
                  <w:vMerge w:val="continue"/>
                  <w:vAlign w:val="center"/>
                </w:tcPr>
                <w:p>
                  <w:pPr>
                    <w:snapToGrid w:val="0"/>
                    <w:spacing w:line="360" w:lineRule="exact"/>
                    <w:contextualSpacing/>
                    <w:jc w:val="center"/>
                    <w:rPr>
                      <w:szCs w:val="21"/>
                    </w:rPr>
                  </w:pPr>
                </w:p>
              </w:tc>
              <w:tc>
                <w:tcPr>
                  <w:tcW w:w="813" w:type="dxa"/>
                  <w:vAlign w:val="center"/>
                </w:tcPr>
                <w:p>
                  <w:pPr>
                    <w:snapToGrid w:val="0"/>
                    <w:spacing w:line="360" w:lineRule="exact"/>
                    <w:contextualSpacing/>
                    <w:jc w:val="center"/>
                    <w:rPr>
                      <w:szCs w:val="21"/>
                    </w:rPr>
                  </w:pPr>
                  <w:r>
                    <w:rPr>
                      <w:szCs w:val="21"/>
                    </w:rPr>
                    <w:t>废气</w:t>
                  </w:r>
                </w:p>
              </w:tc>
              <w:tc>
                <w:tcPr>
                  <w:tcW w:w="4536" w:type="dxa"/>
                  <w:vAlign w:val="center"/>
                </w:tcPr>
                <w:p>
                  <w:pPr>
                    <w:snapToGrid w:val="0"/>
                    <w:spacing w:line="360" w:lineRule="exact"/>
                    <w:contextualSpacing/>
                    <w:jc w:val="center"/>
                    <w:rPr>
                      <w:szCs w:val="21"/>
                    </w:rPr>
                  </w:pPr>
                  <w:r>
                    <w:rPr>
                      <w:szCs w:val="21"/>
                    </w:rPr>
                    <w:t>施工道路加强洒水，施工工地四周设置围挡，临时储存物料四周设置挡风网</w:t>
                  </w:r>
                </w:p>
              </w:tc>
              <w:tc>
                <w:tcPr>
                  <w:tcW w:w="2926" w:type="dxa"/>
                  <w:vAlign w:val="center"/>
                </w:tcPr>
                <w:p>
                  <w:pPr>
                    <w:snapToGrid w:val="0"/>
                    <w:spacing w:line="360" w:lineRule="exact"/>
                    <w:contextualSpacing/>
                    <w:jc w:val="center"/>
                    <w:rPr>
                      <w:szCs w:val="21"/>
                    </w:rPr>
                  </w:pPr>
                  <w:r>
                    <w:rPr>
                      <w:rFonts w:hint="eastAsia"/>
                      <w:szCs w:val="21"/>
                    </w:rPr>
                    <w:t>达（</w:t>
                  </w:r>
                  <w:r>
                    <w:rPr>
                      <w:szCs w:val="21"/>
                    </w:rPr>
                    <w:t>GB16297-1996</w:t>
                  </w:r>
                  <w:r>
                    <w:rPr>
                      <w:rFonts w:hint="eastAsia"/>
                      <w:szCs w:val="21"/>
                    </w:rPr>
                    <w:t>）中的无组织排放浓度监控限值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84" w:hRule="atLeast"/>
              </w:trPr>
              <w:tc>
                <w:tcPr>
                  <w:tcW w:w="787" w:type="dxa"/>
                  <w:vMerge w:val="continue"/>
                  <w:vAlign w:val="center"/>
                </w:tcPr>
                <w:p>
                  <w:pPr>
                    <w:snapToGrid w:val="0"/>
                    <w:spacing w:line="360" w:lineRule="exact"/>
                    <w:contextualSpacing/>
                    <w:jc w:val="center"/>
                    <w:rPr>
                      <w:szCs w:val="21"/>
                    </w:rPr>
                  </w:pPr>
                </w:p>
              </w:tc>
              <w:tc>
                <w:tcPr>
                  <w:tcW w:w="813" w:type="dxa"/>
                  <w:vAlign w:val="center"/>
                </w:tcPr>
                <w:p>
                  <w:pPr>
                    <w:snapToGrid w:val="0"/>
                    <w:spacing w:line="360" w:lineRule="exact"/>
                    <w:contextualSpacing/>
                    <w:jc w:val="center"/>
                    <w:rPr>
                      <w:szCs w:val="21"/>
                    </w:rPr>
                  </w:pPr>
                  <w:r>
                    <w:rPr>
                      <w:rFonts w:hint="eastAsia"/>
                      <w:szCs w:val="21"/>
                    </w:rPr>
                    <w:t>固废</w:t>
                  </w:r>
                </w:p>
              </w:tc>
              <w:tc>
                <w:tcPr>
                  <w:tcW w:w="4536" w:type="dxa"/>
                  <w:vAlign w:val="center"/>
                </w:tcPr>
                <w:p>
                  <w:pPr>
                    <w:snapToGrid w:val="0"/>
                    <w:spacing w:line="360" w:lineRule="exact"/>
                    <w:contextualSpacing/>
                    <w:jc w:val="center"/>
                    <w:rPr>
                      <w:szCs w:val="21"/>
                    </w:rPr>
                  </w:pPr>
                  <w:r>
                    <w:rPr>
                      <w:rFonts w:hint="eastAsia"/>
                      <w:szCs w:val="21"/>
                    </w:rPr>
                    <w:t>能回收利用的建筑垃圾、筑路材料尽量回收利用，不能回收利用的由望城区渣土部门统一调配</w:t>
                  </w:r>
                </w:p>
              </w:tc>
              <w:tc>
                <w:tcPr>
                  <w:tcW w:w="2926" w:type="dxa"/>
                  <w:vAlign w:val="center"/>
                </w:tcPr>
                <w:p>
                  <w:pPr>
                    <w:snapToGrid w:val="0"/>
                    <w:spacing w:line="360" w:lineRule="exact"/>
                    <w:contextualSpacing/>
                    <w:jc w:val="center"/>
                    <w:rPr>
                      <w:szCs w:val="21"/>
                    </w:rPr>
                  </w:pPr>
                  <w:r>
                    <w:rPr>
                      <w:rFonts w:hint="eastAsia"/>
                      <w:szCs w:val="21"/>
                    </w:rPr>
                    <w:t>调查施工期固废处置去向</w:t>
                  </w:r>
                </w:p>
              </w:tc>
            </w:tr>
          </w:tbl>
          <w:p>
            <w:pPr>
              <w:pStyle w:val="21"/>
              <w:autoSpaceDE/>
              <w:autoSpaceDN/>
              <w:adjustRightInd/>
              <w:snapToGrid w:val="0"/>
              <w:spacing w:line="520" w:lineRule="exact"/>
              <w:contextualSpacing/>
              <w:jc w:val="both"/>
              <w:rPr>
                <w:rFonts w:ascii="Times New Roman"/>
              </w:rPr>
            </w:pPr>
          </w:p>
          <w:p>
            <w:pPr>
              <w:pStyle w:val="21"/>
              <w:autoSpaceDE/>
              <w:autoSpaceDN/>
              <w:adjustRightInd/>
              <w:snapToGrid w:val="0"/>
              <w:spacing w:line="520" w:lineRule="exact"/>
              <w:contextualSpacing/>
              <w:jc w:val="both"/>
              <w:rPr>
                <w:rFonts w:ascii="Times New Roman"/>
              </w:rPr>
            </w:pPr>
          </w:p>
        </w:tc>
      </w:tr>
    </w:tbl>
    <w:p>
      <w:pPr>
        <w:snapToGrid w:val="0"/>
        <w:outlineLvl w:val="0"/>
        <w:rPr>
          <w:rFonts w:eastAsia="黑体"/>
          <w:b/>
          <w:color w:val="000000"/>
          <w:sz w:val="32"/>
        </w:rPr>
      </w:pPr>
      <w:r>
        <w:rPr>
          <w:color w:val="FF0000"/>
        </w:rPr>
        <w:br w:type="page"/>
      </w:r>
      <w:bookmarkStart w:id="10" w:name="_Toc460481181"/>
      <w:r>
        <w:rPr>
          <w:rFonts w:ascii="黑体" w:hAnsi="黑体" w:eastAsia="黑体"/>
          <w:b/>
          <w:color w:val="000000"/>
          <w:sz w:val="32"/>
          <w:szCs w:val="32"/>
        </w:rPr>
        <w:pict>
          <v:line id="_x0000_s1026" o:spid="_x0000_s1026" o:spt="20" style="position:absolute;left:0pt;margin-left:-490pt;margin-top:103.25pt;height:0.05pt;width:420pt;z-index:251660288;mso-width-relative:page;mso-height-relative:page;" coordsize="21600,21600" o:allowincell="f" o:gfxdata="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kCezHZAAAADQEAAA8AAAAAAAAAAQAgAAAAIgAA&#10;AGRycy9kb3ducmV2LnhtbFBLAQIUABQAAAAIAIdO4kBMr/AdzgEAAI8DAAAOAAAAAAAAAAEAIAAA&#10;ACgBAABkcnMvZTJvRG9jLnhtbFBLBQYAAAAABgAGAFkBAABoBQAAAAA=&#10;">
            <v:path arrowok="t"/>
            <v:fill focussize="0,0"/>
            <v:stroke/>
            <v:imagedata o:title=""/>
            <o:lock v:ext="edit"/>
          </v:line>
        </w:pict>
      </w:r>
      <w:r>
        <w:rPr>
          <w:rFonts w:ascii="黑体" w:hAnsi="黑体" w:eastAsia="黑体"/>
          <w:b/>
          <w:color w:val="000000"/>
          <w:sz w:val="32"/>
          <w:szCs w:val="32"/>
        </w:rPr>
        <w:pict>
          <v:line id="直线 3" o:spid="_x0000_s1029" o:spt="20" style="position:absolute;left:0pt;margin-left:-518pt;margin-top:74.75pt;height:0.05pt;width:427pt;z-index:251659264;mso-width-relative:page;mso-height-relative:page;" coordsize="21600,21600" o:allowincell="f" o:gfxdata="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h0lla2gAAAA4BAAAPAAAAAAAAAAEAIAAAACIA&#10;AABkcnMvZG93bnJldi54bWxQSwECFAAUAAAACACHTuJAA5RYps4BAACPAwAADgAAAAAAAAABACAA&#10;AAApAQAAZHJzL2Uyb0RvYy54bWxQSwUGAAAAAAYABgBZAQAAaQUAAAAA&#10;">
            <v:path arrowok="t"/>
            <v:fill focussize="0,0"/>
            <v:stroke/>
            <v:imagedata o:title=""/>
            <o:lock v:ext="edit"/>
          </v:line>
        </w:pict>
      </w:r>
      <w:r>
        <w:rPr>
          <w:rFonts w:ascii="黑体" w:hAnsi="黑体" w:eastAsia="黑体"/>
          <w:b/>
          <w:color w:val="000000"/>
          <w:sz w:val="32"/>
          <w:szCs w:val="32"/>
        </w:rPr>
        <w:pict>
          <v:line id="_x0000_s1028" o:spid="_x0000_s1028" o:spt="20" style="position:absolute;left:0pt;margin-left:-490pt;margin-top:27.25pt;height:0.05pt;width:385pt;z-index:251661312;mso-width-relative:page;mso-height-relative:page;" coordsize="21600,21600" o:allowincell="f" o:gfxdata="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cwJxnYAAAACwEAAA8AAAAAAAAAAQAgAAAAIgAA&#10;AGRycy9kb3ducmV2LnhtbFBLAQIUABQAAAAIAIdO4kCqpX+MzwEAAJADAAAOAAAAAAAAAAEAIAAA&#10;ACcBAABkcnMvZTJvRG9jLnhtbFBLBQYAAAAABgAGAFkBAABoBQAAAAA=&#10;">
            <v:path arrowok="t"/>
            <v:fill focussize="0,0"/>
            <v:stroke/>
            <v:imagedata o:title=""/>
            <o:lock v:ext="edit"/>
          </v:line>
        </w:pict>
      </w:r>
      <w:r>
        <w:rPr>
          <w:rFonts w:ascii="黑体" w:hAnsi="黑体" w:eastAsia="黑体"/>
          <w:b/>
          <w:color w:val="000000"/>
          <w:sz w:val="32"/>
          <w:szCs w:val="32"/>
        </w:rPr>
        <w:pict>
          <v:line id="直线 5" o:spid="_x0000_s1027" o:spt="20" style="position:absolute;left:0pt;margin-left:-560pt;margin-top:36.75pt;height:0.05pt;width:427pt;z-index:251658240;mso-width-relative:page;mso-height-relative:page;" coordsize="21600,21600" o:allowincell="f" o:gfxdata="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vNIEB1wAAAAwBAAAPAAAAAAAAAAEAIAAAACIA&#10;AABkcnMvZG93bnJldi54bWxQSwECFAAUAAAACACHTuJAmnc399EBAACQAwAADgAAAAAAAAABACAA&#10;AAAmAQAAZHJzL2Uyb0RvYy54bWxQSwUGAAAAAAYABgBZAQAAaQUAAAAA&#10;">
            <v:path arrowok="t"/>
            <v:fill focussize="0,0"/>
            <v:stroke/>
            <v:imagedata o:title=""/>
            <o:lock v:ext="edit"/>
          </v:line>
        </w:pict>
      </w:r>
      <w:r>
        <w:rPr>
          <w:rFonts w:hint="eastAsia" w:ascii="黑体" w:hAnsi="黑体" w:eastAsia="黑体"/>
          <w:b/>
          <w:color w:val="000000"/>
          <w:sz w:val="32"/>
          <w:szCs w:val="32"/>
        </w:rPr>
        <w:t>八、建设</w:t>
      </w:r>
      <w:r>
        <w:rPr>
          <w:rFonts w:ascii="黑体" w:hAnsi="黑体" w:eastAsia="黑体"/>
          <w:b/>
          <w:color w:val="000000"/>
          <w:sz w:val="32"/>
          <w:szCs w:val="32"/>
        </w:rPr>
        <w:t>项目拟采取的防治措施及</w:t>
      </w:r>
      <w:r>
        <w:rPr>
          <w:rFonts w:eastAsia="黑体"/>
          <w:b/>
          <w:color w:val="000000"/>
          <w:sz w:val="32"/>
        </w:rPr>
        <w:t>预期治理效果</w:t>
      </w:r>
      <w:bookmarkEnd w:id="10"/>
    </w:p>
    <w:tbl>
      <w:tblPr>
        <w:tblStyle w:val="19"/>
        <w:tblW w:w="95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09"/>
        <w:gridCol w:w="1275"/>
        <w:gridCol w:w="1560"/>
        <w:gridCol w:w="2551"/>
        <w:gridCol w:w="24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trPr>
        <w:tc>
          <w:tcPr>
            <w:tcW w:w="959" w:type="dxa"/>
            <w:vAlign w:val="center"/>
          </w:tcPr>
          <w:p>
            <w:pPr>
              <w:snapToGrid w:val="0"/>
              <w:spacing w:line="360" w:lineRule="exact"/>
              <w:jc w:val="center"/>
              <w:rPr>
                <w:color w:val="000000"/>
                <w:sz w:val="24"/>
                <w:szCs w:val="24"/>
              </w:rPr>
            </w:pPr>
            <w:r>
              <w:rPr>
                <w:rFonts w:hint="eastAsia"/>
                <w:color w:val="000000"/>
                <w:sz w:val="24"/>
                <w:szCs w:val="24"/>
              </w:rPr>
              <w:t>类型</w:t>
            </w:r>
          </w:p>
          <w:p>
            <w:pPr>
              <w:snapToGrid w:val="0"/>
              <w:spacing w:line="360" w:lineRule="exact"/>
              <w:jc w:val="center"/>
              <w:rPr>
                <w:color w:val="000000"/>
                <w:sz w:val="24"/>
                <w:szCs w:val="24"/>
              </w:rPr>
            </w:pPr>
            <w:r>
              <w:rPr>
                <w:rFonts w:hint="eastAsia"/>
                <w:color w:val="000000"/>
                <w:sz w:val="24"/>
                <w:szCs w:val="24"/>
              </w:rPr>
              <w:t>内容</w:t>
            </w:r>
          </w:p>
        </w:tc>
        <w:tc>
          <w:tcPr>
            <w:tcW w:w="1984" w:type="dxa"/>
            <w:gridSpan w:val="2"/>
            <w:vAlign w:val="center"/>
          </w:tcPr>
          <w:p>
            <w:pPr>
              <w:snapToGrid w:val="0"/>
              <w:spacing w:line="360" w:lineRule="exact"/>
              <w:jc w:val="center"/>
              <w:rPr>
                <w:color w:val="000000"/>
              </w:rPr>
            </w:pPr>
            <w:r>
              <w:rPr>
                <w:rFonts w:hint="eastAsia"/>
                <w:color w:val="000000"/>
                <w:sz w:val="24"/>
                <w:szCs w:val="24"/>
              </w:rPr>
              <w:t>排放源（编号）</w:t>
            </w:r>
          </w:p>
        </w:tc>
        <w:tc>
          <w:tcPr>
            <w:tcW w:w="1560" w:type="dxa"/>
            <w:vAlign w:val="center"/>
          </w:tcPr>
          <w:p>
            <w:pPr>
              <w:snapToGrid w:val="0"/>
              <w:spacing w:line="360" w:lineRule="exact"/>
              <w:jc w:val="center"/>
              <w:rPr>
                <w:color w:val="000000"/>
                <w:sz w:val="24"/>
                <w:szCs w:val="24"/>
              </w:rPr>
            </w:pPr>
            <w:r>
              <w:rPr>
                <w:rFonts w:hint="eastAsia"/>
                <w:color w:val="000000"/>
                <w:sz w:val="24"/>
                <w:szCs w:val="24"/>
              </w:rPr>
              <w:t>污染物名称</w:t>
            </w:r>
          </w:p>
        </w:tc>
        <w:tc>
          <w:tcPr>
            <w:tcW w:w="2551" w:type="dxa"/>
            <w:vAlign w:val="center"/>
          </w:tcPr>
          <w:p>
            <w:pPr>
              <w:snapToGrid w:val="0"/>
              <w:spacing w:line="360" w:lineRule="exact"/>
              <w:jc w:val="center"/>
              <w:rPr>
                <w:color w:val="000000"/>
                <w:sz w:val="24"/>
                <w:szCs w:val="24"/>
              </w:rPr>
            </w:pPr>
            <w:r>
              <w:rPr>
                <w:rFonts w:hint="eastAsia"/>
                <w:color w:val="000000"/>
                <w:sz w:val="24"/>
                <w:szCs w:val="24"/>
              </w:rPr>
              <w:t>防治措施</w:t>
            </w:r>
          </w:p>
        </w:tc>
        <w:tc>
          <w:tcPr>
            <w:tcW w:w="2460" w:type="dxa"/>
            <w:vAlign w:val="center"/>
          </w:tcPr>
          <w:p>
            <w:pPr>
              <w:snapToGrid w:val="0"/>
              <w:spacing w:line="360" w:lineRule="exact"/>
              <w:jc w:val="center"/>
              <w:rPr>
                <w:color w:val="000000"/>
                <w:sz w:val="24"/>
                <w:szCs w:val="24"/>
              </w:rPr>
            </w:pPr>
            <w:r>
              <w:rPr>
                <w:rFonts w:hint="eastAsia"/>
                <w:color w:val="000000"/>
                <w:sz w:val="24"/>
                <w:szCs w:val="24"/>
              </w:rPr>
              <w:t>预期处理效果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trPr>
        <w:tc>
          <w:tcPr>
            <w:tcW w:w="959" w:type="dxa"/>
            <w:vMerge w:val="restart"/>
            <w:vAlign w:val="center"/>
          </w:tcPr>
          <w:p>
            <w:pPr>
              <w:snapToGrid w:val="0"/>
              <w:spacing w:line="360" w:lineRule="exact"/>
              <w:jc w:val="center"/>
              <w:rPr>
                <w:color w:val="000000"/>
                <w:sz w:val="24"/>
                <w:szCs w:val="24"/>
              </w:rPr>
            </w:pPr>
            <w:r>
              <w:rPr>
                <w:rFonts w:hint="eastAsia"/>
                <w:color w:val="000000"/>
                <w:sz w:val="24"/>
                <w:szCs w:val="24"/>
              </w:rPr>
              <w:t>大气</w:t>
            </w:r>
          </w:p>
          <w:p>
            <w:pPr>
              <w:snapToGrid w:val="0"/>
              <w:spacing w:line="360" w:lineRule="exact"/>
              <w:jc w:val="center"/>
              <w:rPr>
                <w:color w:val="000000"/>
                <w:sz w:val="24"/>
                <w:szCs w:val="24"/>
              </w:rPr>
            </w:pPr>
            <w:r>
              <w:rPr>
                <w:rFonts w:hint="eastAsia"/>
                <w:color w:val="000000"/>
                <w:sz w:val="24"/>
                <w:szCs w:val="24"/>
              </w:rPr>
              <w:t>污染</w:t>
            </w:r>
          </w:p>
          <w:p>
            <w:pPr>
              <w:snapToGrid w:val="0"/>
              <w:spacing w:line="360" w:lineRule="exact"/>
              <w:jc w:val="center"/>
              <w:rPr>
                <w:color w:val="000000"/>
              </w:rPr>
            </w:pPr>
            <w:r>
              <w:rPr>
                <w:rFonts w:hint="eastAsia"/>
                <w:color w:val="000000"/>
                <w:sz w:val="24"/>
                <w:szCs w:val="24"/>
              </w:rPr>
              <w:t>物</w:t>
            </w:r>
          </w:p>
        </w:tc>
        <w:tc>
          <w:tcPr>
            <w:tcW w:w="709" w:type="dxa"/>
            <w:vMerge w:val="restart"/>
            <w:vAlign w:val="center"/>
          </w:tcPr>
          <w:p>
            <w:pPr>
              <w:snapToGrid w:val="0"/>
              <w:spacing w:line="360" w:lineRule="exact"/>
              <w:jc w:val="center"/>
              <w:rPr>
                <w:color w:val="000000"/>
                <w:sz w:val="24"/>
                <w:szCs w:val="24"/>
              </w:rPr>
            </w:pPr>
            <w:r>
              <w:rPr>
                <w:rFonts w:hint="eastAsia"/>
                <w:color w:val="000000"/>
                <w:sz w:val="24"/>
                <w:szCs w:val="24"/>
              </w:rPr>
              <w:t>施</w:t>
            </w:r>
          </w:p>
          <w:p>
            <w:pPr>
              <w:snapToGrid w:val="0"/>
              <w:spacing w:line="360" w:lineRule="exact"/>
              <w:jc w:val="center"/>
              <w:rPr>
                <w:color w:val="000000"/>
                <w:sz w:val="24"/>
                <w:szCs w:val="24"/>
              </w:rPr>
            </w:pPr>
            <w:r>
              <w:rPr>
                <w:rFonts w:hint="eastAsia"/>
                <w:color w:val="000000"/>
                <w:sz w:val="24"/>
                <w:szCs w:val="24"/>
              </w:rPr>
              <w:t>工</w:t>
            </w:r>
          </w:p>
          <w:p>
            <w:pPr>
              <w:snapToGrid w:val="0"/>
              <w:spacing w:line="360" w:lineRule="exact"/>
              <w:jc w:val="center"/>
              <w:rPr>
                <w:color w:val="000000"/>
              </w:rPr>
            </w:pPr>
            <w:r>
              <w:rPr>
                <w:rFonts w:hint="eastAsia"/>
                <w:color w:val="000000"/>
                <w:sz w:val="24"/>
                <w:szCs w:val="24"/>
              </w:rPr>
              <w:t>期</w:t>
            </w:r>
          </w:p>
        </w:tc>
        <w:tc>
          <w:tcPr>
            <w:tcW w:w="1275" w:type="dxa"/>
            <w:vAlign w:val="center"/>
          </w:tcPr>
          <w:p>
            <w:pPr>
              <w:snapToGrid w:val="0"/>
              <w:spacing w:line="360" w:lineRule="exact"/>
              <w:jc w:val="center"/>
              <w:rPr>
                <w:color w:val="000000"/>
                <w:sz w:val="24"/>
                <w:szCs w:val="24"/>
              </w:rPr>
            </w:pPr>
            <w:r>
              <w:rPr>
                <w:rFonts w:hint="eastAsia"/>
                <w:color w:val="000000"/>
                <w:sz w:val="24"/>
                <w:szCs w:val="24"/>
              </w:rPr>
              <w:t>施工扬尘</w:t>
            </w:r>
          </w:p>
        </w:tc>
        <w:tc>
          <w:tcPr>
            <w:tcW w:w="1560" w:type="dxa"/>
            <w:vAlign w:val="center"/>
          </w:tcPr>
          <w:p>
            <w:pPr>
              <w:snapToGrid w:val="0"/>
              <w:spacing w:line="360" w:lineRule="exact"/>
              <w:jc w:val="center"/>
              <w:rPr>
                <w:color w:val="000000"/>
                <w:sz w:val="24"/>
                <w:szCs w:val="24"/>
              </w:rPr>
            </w:pPr>
            <w:r>
              <w:rPr>
                <w:rFonts w:hint="eastAsia"/>
                <w:color w:val="000000"/>
                <w:sz w:val="24"/>
                <w:szCs w:val="24"/>
              </w:rPr>
              <w:t>扬尘</w:t>
            </w:r>
          </w:p>
        </w:tc>
        <w:tc>
          <w:tcPr>
            <w:tcW w:w="2551" w:type="dxa"/>
            <w:vAlign w:val="center"/>
          </w:tcPr>
          <w:p>
            <w:pPr>
              <w:snapToGrid w:val="0"/>
              <w:spacing w:line="360" w:lineRule="exact"/>
              <w:jc w:val="center"/>
              <w:rPr>
                <w:color w:val="000000"/>
                <w:sz w:val="24"/>
                <w:szCs w:val="24"/>
              </w:rPr>
            </w:pPr>
            <w:r>
              <w:rPr>
                <w:rFonts w:hint="eastAsia"/>
                <w:color w:val="000000"/>
                <w:sz w:val="24"/>
                <w:szCs w:val="24"/>
              </w:rPr>
              <w:t>加强地面洒水以及临时道路硬化</w:t>
            </w:r>
          </w:p>
        </w:tc>
        <w:tc>
          <w:tcPr>
            <w:tcW w:w="2460" w:type="dxa"/>
            <w:vMerge w:val="restart"/>
            <w:vAlign w:val="center"/>
          </w:tcPr>
          <w:p>
            <w:pPr>
              <w:snapToGrid w:val="0"/>
              <w:spacing w:line="360" w:lineRule="exact"/>
              <w:jc w:val="center"/>
              <w:rPr>
                <w:color w:val="000000"/>
              </w:rPr>
            </w:pPr>
            <w:r>
              <w:rPr>
                <w:rFonts w:hint="eastAsia"/>
                <w:color w:val="000000"/>
                <w:sz w:val="24"/>
                <w:szCs w:val="24"/>
              </w:rPr>
              <w:t>达到《大气污染物综合排放标准》无组织监控浓度限值要求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trPr>
        <w:tc>
          <w:tcPr>
            <w:tcW w:w="959" w:type="dxa"/>
            <w:vMerge w:val="continue"/>
            <w:vAlign w:val="center"/>
          </w:tcPr>
          <w:p>
            <w:pPr>
              <w:snapToGrid w:val="0"/>
              <w:spacing w:line="360" w:lineRule="exact"/>
              <w:jc w:val="center"/>
              <w:rPr>
                <w:color w:val="000000"/>
              </w:rPr>
            </w:pPr>
          </w:p>
        </w:tc>
        <w:tc>
          <w:tcPr>
            <w:tcW w:w="709" w:type="dxa"/>
            <w:vMerge w:val="continue"/>
            <w:vAlign w:val="center"/>
          </w:tcPr>
          <w:p>
            <w:pPr>
              <w:snapToGrid w:val="0"/>
              <w:spacing w:line="360" w:lineRule="exact"/>
              <w:jc w:val="center"/>
              <w:rPr>
                <w:color w:val="000000"/>
              </w:rPr>
            </w:pPr>
          </w:p>
        </w:tc>
        <w:tc>
          <w:tcPr>
            <w:tcW w:w="1275" w:type="dxa"/>
            <w:vAlign w:val="center"/>
          </w:tcPr>
          <w:p>
            <w:pPr>
              <w:snapToGrid w:val="0"/>
              <w:spacing w:line="360" w:lineRule="exact"/>
              <w:jc w:val="center"/>
              <w:rPr>
                <w:color w:val="000000"/>
                <w:sz w:val="24"/>
                <w:szCs w:val="24"/>
              </w:rPr>
            </w:pPr>
            <w:r>
              <w:rPr>
                <w:rFonts w:hint="eastAsia"/>
                <w:color w:val="000000"/>
                <w:sz w:val="24"/>
                <w:szCs w:val="24"/>
              </w:rPr>
              <w:t>机械、汽车尾气</w:t>
            </w:r>
          </w:p>
        </w:tc>
        <w:tc>
          <w:tcPr>
            <w:tcW w:w="1560" w:type="dxa"/>
            <w:vAlign w:val="center"/>
          </w:tcPr>
          <w:p>
            <w:pPr>
              <w:snapToGrid w:val="0"/>
              <w:spacing w:line="360" w:lineRule="exact"/>
              <w:jc w:val="center"/>
              <w:rPr>
                <w:color w:val="000000"/>
                <w:sz w:val="24"/>
                <w:szCs w:val="24"/>
              </w:rPr>
            </w:pPr>
            <w:r>
              <w:rPr>
                <w:rFonts w:hint="eastAsia"/>
                <w:color w:val="000000"/>
                <w:sz w:val="24"/>
                <w:szCs w:val="24"/>
              </w:rPr>
              <w:t>THC、CO、NOx</w:t>
            </w:r>
          </w:p>
        </w:tc>
        <w:tc>
          <w:tcPr>
            <w:tcW w:w="2551" w:type="dxa"/>
            <w:vAlign w:val="center"/>
          </w:tcPr>
          <w:p>
            <w:pPr>
              <w:snapToGrid w:val="0"/>
              <w:spacing w:line="360" w:lineRule="exact"/>
              <w:jc w:val="center"/>
              <w:rPr>
                <w:color w:val="000000"/>
                <w:sz w:val="24"/>
                <w:szCs w:val="24"/>
              </w:rPr>
            </w:pPr>
            <w:r>
              <w:rPr>
                <w:rFonts w:hint="eastAsia"/>
                <w:color w:val="000000"/>
                <w:sz w:val="24"/>
                <w:szCs w:val="24"/>
              </w:rPr>
              <w:t>加强施工机械的管理</w:t>
            </w:r>
          </w:p>
        </w:tc>
        <w:tc>
          <w:tcPr>
            <w:tcW w:w="2460" w:type="dxa"/>
            <w:vMerge w:val="continue"/>
            <w:vAlign w:val="center"/>
          </w:tcPr>
          <w:p>
            <w:pPr>
              <w:snapToGrid w:val="0"/>
              <w:spacing w:line="360" w:lineRule="exact"/>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trPr>
        <w:tc>
          <w:tcPr>
            <w:tcW w:w="959" w:type="dxa"/>
            <w:vAlign w:val="center"/>
          </w:tcPr>
          <w:p>
            <w:pPr>
              <w:snapToGrid w:val="0"/>
              <w:spacing w:line="360" w:lineRule="exact"/>
              <w:jc w:val="center"/>
              <w:rPr>
                <w:color w:val="000000"/>
                <w:sz w:val="24"/>
                <w:szCs w:val="24"/>
              </w:rPr>
            </w:pPr>
            <w:r>
              <w:rPr>
                <w:rFonts w:hint="eastAsia"/>
                <w:color w:val="000000"/>
                <w:sz w:val="24"/>
                <w:szCs w:val="24"/>
              </w:rPr>
              <w:t>水污</w:t>
            </w:r>
          </w:p>
          <w:p>
            <w:pPr>
              <w:snapToGrid w:val="0"/>
              <w:spacing w:line="360" w:lineRule="exact"/>
              <w:jc w:val="center"/>
              <w:rPr>
                <w:color w:val="000000"/>
              </w:rPr>
            </w:pPr>
            <w:r>
              <w:rPr>
                <w:rFonts w:hint="eastAsia"/>
                <w:color w:val="000000"/>
                <w:sz w:val="24"/>
                <w:szCs w:val="24"/>
              </w:rPr>
              <w:t>染物</w:t>
            </w:r>
          </w:p>
        </w:tc>
        <w:tc>
          <w:tcPr>
            <w:tcW w:w="709" w:type="dxa"/>
            <w:vAlign w:val="center"/>
          </w:tcPr>
          <w:p>
            <w:pPr>
              <w:snapToGrid w:val="0"/>
              <w:spacing w:line="360" w:lineRule="exact"/>
              <w:jc w:val="center"/>
              <w:rPr>
                <w:color w:val="000000"/>
                <w:sz w:val="24"/>
                <w:szCs w:val="24"/>
              </w:rPr>
            </w:pPr>
            <w:r>
              <w:rPr>
                <w:rFonts w:hint="eastAsia"/>
                <w:color w:val="000000"/>
                <w:sz w:val="24"/>
                <w:szCs w:val="24"/>
              </w:rPr>
              <w:t>施工期</w:t>
            </w:r>
          </w:p>
        </w:tc>
        <w:tc>
          <w:tcPr>
            <w:tcW w:w="1275" w:type="dxa"/>
            <w:vAlign w:val="center"/>
          </w:tcPr>
          <w:p>
            <w:pPr>
              <w:snapToGrid w:val="0"/>
              <w:spacing w:line="360" w:lineRule="exact"/>
              <w:jc w:val="center"/>
              <w:rPr>
                <w:color w:val="000000"/>
                <w:sz w:val="24"/>
                <w:szCs w:val="24"/>
              </w:rPr>
            </w:pPr>
            <w:r>
              <w:rPr>
                <w:rFonts w:hint="eastAsia"/>
                <w:color w:val="000000"/>
                <w:sz w:val="24"/>
                <w:szCs w:val="24"/>
              </w:rPr>
              <w:t>施工废水</w:t>
            </w:r>
          </w:p>
        </w:tc>
        <w:tc>
          <w:tcPr>
            <w:tcW w:w="1560" w:type="dxa"/>
            <w:vAlign w:val="center"/>
          </w:tcPr>
          <w:p>
            <w:pPr>
              <w:snapToGrid w:val="0"/>
              <w:spacing w:line="360" w:lineRule="exact"/>
              <w:jc w:val="center"/>
              <w:rPr>
                <w:color w:val="000000"/>
                <w:sz w:val="24"/>
                <w:szCs w:val="24"/>
              </w:rPr>
            </w:pPr>
            <w:r>
              <w:rPr>
                <w:rFonts w:hint="eastAsia"/>
                <w:color w:val="000000"/>
                <w:sz w:val="24"/>
                <w:szCs w:val="24"/>
              </w:rPr>
              <w:t>COD、BOD</w:t>
            </w:r>
            <w:r>
              <w:rPr>
                <w:rFonts w:hint="eastAsia"/>
                <w:color w:val="000000"/>
                <w:sz w:val="24"/>
                <w:szCs w:val="24"/>
                <w:vertAlign w:val="subscript"/>
              </w:rPr>
              <w:t>5</w:t>
            </w:r>
            <w:r>
              <w:rPr>
                <w:rFonts w:hint="eastAsia"/>
                <w:color w:val="000000"/>
                <w:sz w:val="24"/>
                <w:szCs w:val="24"/>
              </w:rPr>
              <w:t>、石油类、SS</w:t>
            </w:r>
          </w:p>
        </w:tc>
        <w:tc>
          <w:tcPr>
            <w:tcW w:w="2551" w:type="dxa"/>
            <w:vAlign w:val="center"/>
          </w:tcPr>
          <w:p>
            <w:pPr>
              <w:snapToGrid w:val="0"/>
              <w:spacing w:line="360" w:lineRule="exact"/>
              <w:jc w:val="center"/>
              <w:rPr>
                <w:color w:val="000000"/>
                <w:sz w:val="24"/>
                <w:szCs w:val="24"/>
              </w:rPr>
            </w:pPr>
            <w:r>
              <w:rPr>
                <w:rFonts w:hint="eastAsia"/>
                <w:color w:val="000000"/>
                <w:sz w:val="24"/>
                <w:szCs w:val="24"/>
              </w:rPr>
              <w:t>经隔油沉淀处理后回用，不外排</w:t>
            </w:r>
          </w:p>
        </w:tc>
        <w:tc>
          <w:tcPr>
            <w:tcW w:w="2460" w:type="dxa"/>
            <w:vAlign w:val="center"/>
          </w:tcPr>
          <w:p>
            <w:pPr>
              <w:snapToGrid w:val="0"/>
              <w:spacing w:line="360" w:lineRule="exact"/>
              <w:jc w:val="center"/>
              <w:rPr>
                <w:color w:val="000000"/>
                <w:sz w:val="24"/>
                <w:szCs w:val="24"/>
              </w:rPr>
            </w:pPr>
            <w:r>
              <w:rPr>
                <w:rFonts w:hint="eastAsia"/>
                <w:color w:val="000000"/>
                <w:sz w:val="24"/>
                <w:szCs w:val="24"/>
              </w:rPr>
              <w:t>不外排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rPr>
        <w:tc>
          <w:tcPr>
            <w:tcW w:w="959" w:type="dxa"/>
            <w:vMerge w:val="restart"/>
            <w:vAlign w:val="center"/>
          </w:tcPr>
          <w:p>
            <w:pPr>
              <w:snapToGrid w:val="0"/>
              <w:spacing w:line="360" w:lineRule="exact"/>
              <w:jc w:val="center"/>
              <w:rPr>
                <w:color w:val="000000"/>
                <w:sz w:val="24"/>
                <w:szCs w:val="24"/>
              </w:rPr>
            </w:pPr>
            <w:r>
              <w:rPr>
                <w:rFonts w:hint="eastAsia"/>
                <w:color w:val="000000"/>
                <w:sz w:val="24"/>
                <w:szCs w:val="24"/>
              </w:rPr>
              <w:t>固体</w:t>
            </w:r>
          </w:p>
          <w:p>
            <w:pPr>
              <w:snapToGrid w:val="0"/>
              <w:spacing w:line="360" w:lineRule="exact"/>
              <w:jc w:val="center"/>
              <w:rPr>
                <w:color w:val="000000"/>
                <w:sz w:val="24"/>
                <w:szCs w:val="24"/>
              </w:rPr>
            </w:pPr>
            <w:r>
              <w:rPr>
                <w:rFonts w:hint="eastAsia"/>
                <w:color w:val="000000"/>
                <w:sz w:val="24"/>
                <w:szCs w:val="24"/>
              </w:rPr>
              <w:t>废物</w:t>
            </w:r>
          </w:p>
        </w:tc>
        <w:tc>
          <w:tcPr>
            <w:tcW w:w="709" w:type="dxa"/>
            <w:vMerge w:val="restart"/>
            <w:vAlign w:val="center"/>
          </w:tcPr>
          <w:p>
            <w:pPr>
              <w:snapToGrid w:val="0"/>
              <w:spacing w:line="360" w:lineRule="exact"/>
              <w:jc w:val="center"/>
              <w:rPr>
                <w:color w:val="000000"/>
                <w:sz w:val="24"/>
                <w:szCs w:val="24"/>
              </w:rPr>
            </w:pPr>
            <w:r>
              <w:rPr>
                <w:rFonts w:hint="eastAsia"/>
                <w:color w:val="000000"/>
                <w:sz w:val="24"/>
                <w:szCs w:val="24"/>
              </w:rPr>
              <w:t>施工期</w:t>
            </w:r>
          </w:p>
        </w:tc>
        <w:tc>
          <w:tcPr>
            <w:tcW w:w="2835" w:type="dxa"/>
            <w:gridSpan w:val="2"/>
            <w:vAlign w:val="center"/>
          </w:tcPr>
          <w:p>
            <w:pPr>
              <w:wordWrap w:val="0"/>
              <w:topLinePunct/>
              <w:jc w:val="center"/>
              <w:rPr>
                <w:color w:val="000000"/>
                <w:sz w:val="24"/>
                <w:szCs w:val="24"/>
              </w:rPr>
            </w:pPr>
            <w:r>
              <w:rPr>
                <w:rFonts w:hint="eastAsia"/>
                <w:color w:val="000000"/>
                <w:sz w:val="24"/>
                <w:szCs w:val="24"/>
              </w:rPr>
              <w:t>渣土</w:t>
            </w:r>
          </w:p>
        </w:tc>
        <w:tc>
          <w:tcPr>
            <w:tcW w:w="2551" w:type="dxa"/>
            <w:vAlign w:val="center"/>
          </w:tcPr>
          <w:p>
            <w:pPr>
              <w:wordWrap w:val="0"/>
              <w:topLinePunct/>
              <w:jc w:val="center"/>
              <w:rPr>
                <w:color w:val="000000"/>
                <w:sz w:val="24"/>
                <w:szCs w:val="24"/>
              </w:rPr>
            </w:pPr>
            <w:r>
              <w:rPr>
                <w:rFonts w:hint="eastAsia"/>
                <w:color w:val="000000"/>
                <w:sz w:val="24"/>
                <w:szCs w:val="24"/>
              </w:rPr>
              <w:t>由君山区渣土办处理</w:t>
            </w:r>
          </w:p>
        </w:tc>
        <w:tc>
          <w:tcPr>
            <w:tcW w:w="2460" w:type="dxa"/>
            <w:vMerge w:val="restart"/>
            <w:vAlign w:val="center"/>
          </w:tcPr>
          <w:p>
            <w:pPr>
              <w:snapToGrid w:val="0"/>
              <w:spacing w:line="360" w:lineRule="exact"/>
              <w:jc w:val="center"/>
              <w:rPr>
                <w:color w:val="000000"/>
              </w:rPr>
            </w:pPr>
            <w:r>
              <w:rPr>
                <w:rFonts w:hint="eastAsia" w:hAnsi="宋体"/>
                <w:color w:val="000000"/>
                <w:sz w:val="24"/>
                <w:szCs w:val="24"/>
              </w:rPr>
              <w:t>资源化、无害化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trPr>
        <w:tc>
          <w:tcPr>
            <w:tcW w:w="959" w:type="dxa"/>
            <w:vMerge w:val="continue"/>
            <w:vAlign w:val="center"/>
          </w:tcPr>
          <w:p>
            <w:pPr>
              <w:snapToGrid w:val="0"/>
              <w:spacing w:line="360" w:lineRule="exact"/>
              <w:jc w:val="center"/>
              <w:rPr>
                <w:color w:val="000000"/>
                <w:sz w:val="24"/>
                <w:szCs w:val="24"/>
              </w:rPr>
            </w:pPr>
          </w:p>
        </w:tc>
        <w:tc>
          <w:tcPr>
            <w:tcW w:w="709" w:type="dxa"/>
            <w:vMerge w:val="continue"/>
            <w:vAlign w:val="center"/>
          </w:tcPr>
          <w:p>
            <w:pPr>
              <w:snapToGrid w:val="0"/>
              <w:spacing w:line="360" w:lineRule="exact"/>
              <w:jc w:val="center"/>
              <w:rPr>
                <w:color w:val="000000"/>
                <w:sz w:val="24"/>
                <w:szCs w:val="24"/>
              </w:rPr>
            </w:pPr>
          </w:p>
        </w:tc>
        <w:tc>
          <w:tcPr>
            <w:tcW w:w="2835" w:type="dxa"/>
            <w:gridSpan w:val="2"/>
            <w:vAlign w:val="center"/>
          </w:tcPr>
          <w:p>
            <w:pPr>
              <w:wordWrap w:val="0"/>
              <w:topLinePunct/>
              <w:jc w:val="center"/>
              <w:rPr>
                <w:color w:val="000000"/>
                <w:sz w:val="24"/>
                <w:szCs w:val="24"/>
              </w:rPr>
            </w:pPr>
            <w:r>
              <w:rPr>
                <w:rFonts w:hint="eastAsia"/>
                <w:color w:val="000000"/>
                <w:sz w:val="24"/>
                <w:szCs w:val="24"/>
              </w:rPr>
              <w:t>建筑垃圾</w:t>
            </w:r>
          </w:p>
        </w:tc>
        <w:tc>
          <w:tcPr>
            <w:tcW w:w="2551" w:type="dxa"/>
            <w:vAlign w:val="center"/>
          </w:tcPr>
          <w:p>
            <w:pPr>
              <w:wordWrap w:val="0"/>
              <w:topLinePunct/>
              <w:jc w:val="center"/>
              <w:rPr>
                <w:color w:val="000000"/>
                <w:sz w:val="24"/>
                <w:szCs w:val="24"/>
              </w:rPr>
            </w:pPr>
            <w:r>
              <w:rPr>
                <w:rFonts w:hint="eastAsia"/>
                <w:color w:val="000000"/>
                <w:sz w:val="24"/>
                <w:szCs w:val="24"/>
              </w:rPr>
              <w:t>尽可能利用，不能利用交渣土办处理</w:t>
            </w:r>
          </w:p>
        </w:tc>
        <w:tc>
          <w:tcPr>
            <w:tcW w:w="2460" w:type="dxa"/>
            <w:vMerge w:val="continue"/>
            <w:vAlign w:val="center"/>
          </w:tcPr>
          <w:p>
            <w:pPr>
              <w:snapToGrid w:val="0"/>
              <w:spacing w:line="360" w:lineRule="exact"/>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trPr>
        <w:tc>
          <w:tcPr>
            <w:tcW w:w="959" w:type="dxa"/>
            <w:vAlign w:val="center"/>
          </w:tcPr>
          <w:p>
            <w:pPr>
              <w:snapToGrid w:val="0"/>
              <w:spacing w:line="360" w:lineRule="exact"/>
              <w:jc w:val="center"/>
              <w:rPr>
                <w:color w:val="000000"/>
                <w:sz w:val="24"/>
                <w:szCs w:val="24"/>
              </w:rPr>
            </w:pPr>
            <w:r>
              <w:rPr>
                <w:rFonts w:hint="eastAsia"/>
                <w:color w:val="000000"/>
                <w:sz w:val="24"/>
                <w:szCs w:val="24"/>
              </w:rPr>
              <w:t>噪声</w:t>
            </w:r>
          </w:p>
        </w:tc>
        <w:tc>
          <w:tcPr>
            <w:tcW w:w="709" w:type="dxa"/>
            <w:vAlign w:val="center"/>
          </w:tcPr>
          <w:p>
            <w:pPr>
              <w:snapToGrid w:val="0"/>
              <w:spacing w:line="360" w:lineRule="exact"/>
              <w:jc w:val="center"/>
              <w:rPr>
                <w:color w:val="000000"/>
                <w:sz w:val="24"/>
                <w:szCs w:val="24"/>
              </w:rPr>
            </w:pPr>
            <w:r>
              <w:rPr>
                <w:rFonts w:hint="eastAsia"/>
                <w:color w:val="000000"/>
                <w:sz w:val="24"/>
                <w:szCs w:val="24"/>
              </w:rPr>
              <w:t>施工期</w:t>
            </w:r>
          </w:p>
        </w:tc>
        <w:tc>
          <w:tcPr>
            <w:tcW w:w="1275" w:type="dxa"/>
            <w:vAlign w:val="center"/>
          </w:tcPr>
          <w:p>
            <w:pPr>
              <w:snapToGrid w:val="0"/>
              <w:spacing w:line="360" w:lineRule="exact"/>
              <w:jc w:val="center"/>
              <w:rPr>
                <w:color w:val="000000"/>
                <w:sz w:val="24"/>
                <w:szCs w:val="24"/>
              </w:rPr>
            </w:pPr>
            <w:r>
              <w:rPr>
                <w:rFonts w:hint="eastAsia"/>
                <w:color w:val="000000"/>
                <w:sz w:val="24"/>
                <w:szCs w:val="24"/>
              </w:rPr>
              <w:t>施工机械</w:t>
            </w:r>
          </w:p>
        </w:tc>
        <w:tc>
          <w:tcPr>
            <w:tcW w:w="1560" w:type="dxa"/>
            <w:vAlign w:val="center"/>
          </w:tcPr>
          <w:p>
            <w:pPr>
              <w:snapToGrid w:val="0"/>
              <w:spacing w:line="360" w:lineRule="exact"/>
              <w:jc w:val="center"/>
              <w:rPr>
                <w:color w:val="000000"/>
                <w:sz w:val="24"/>
                <w:szCs w:val="24"/>
              </w:rPr>
            </w:pPr>
            <w:r>
              <w:rPr>
                <w:rFonts w:hint="eastAsia"/>
                <w:color w:val="000000"/>
                <w:sz w:val="24"/>
                <w:szCs w:val="24"/>
              </w:rPr>
              <w:t>Leq</w:t>
            </w:r>
          </w:p>
        </w:tc>
        <w:tc>
          <w:tcPr>
            <w:tcW w:w="2551" w:type="dxa"/>
            <w:vAlign w:val="center"/>
          </w:tcPr>
          <w:p>
            <w:pPr>
              <w:snapToGrid w:val="0"/>
              <w:spacing w:line="360" w:lineRule="exact"/>
              <w:jc w:val="center"/>
              <w:rPr>
                <w:color w:val="000000"/>
                <w:sz w:val="24"/>
                <w:szCs w:val="24"/>
              </w:rPr>
            </w:pPr>
            <w:r>
              <w:rPr>
                <w:rFonts w:hint="eastAsia"/>
                <w:color w:val="000000"/>
                <w:sz w:val="24"/>
                <w:szCs w:val="24"/>
              </w:rPr>
              <w:t>选用低噪声设备，夜间禁止高噪声作业</w:t>
            </w:r>
          </w:p>
        </w:tc>
        <w:tc>
          <w:tcPr>
            <w:tcW w:w="2460" w:type="dxa"/>
            <w:vAlign w:val="center"/>
          </w:tcPr>
          <w:p>
            <w:pPr>
              <w:snapToGrid w:val="0"/>
              <w:spacing w:line="360" w:lineRule="exact"/>
              <w:jc w:val="center"/>
              <w:rPr>
                <w:color w:val="000000"/>
                <w:sz w:val="24"/>
                <w:szCs w:val="24"/>
              </w:rPr>
            </w:pPr>
            <w:r>
              <w:rPr>
                <w:rFonts w:hint="eastAsia"/>
                <w:color w:val="000000"/>
                <w:sz w:val="24"/>
                <w:szCs w:val="24"/>
              </w:rPr>
              <w:t>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05" w:hRule="atLeast"/>
        </w:trPr>
        <w:tc>
          <w:tcPr>
            <w:tcW w:w="9514" w:type="dxa"/>
            <w:gridSpan w:val="6"/>
            <w:vAlign w:val="center"/>
          </w:tcPr>
          <w:p>
            <w:pPr>
              <w:topLinePunct/>
              <w:snapToGrid w:val="0"/>
              <w:spacing w:line="520" w:lineRule="exact"/>
              <w:contextualSpacing/>
              <w:rPr>
                <w:b/>
                <w:bCs/>
                <w:color w:val="000000"/>
                <w:sz w:val="24"/>
                <w:szCs w:val="24"/>
              </w:rPr>
            </w:pPr>
            <w:r>
              <w:rPr>
                <w:rFonts w:hint="eastAsia"/>
                <w:b/>
                <w:bCs/>
                <w:color w:val="000000"/>
                <w:sz w:val="24"/>
                <w:szCs w:val="24"/>
              </w:rPr>
              <w:t>生态保护措施及预期效果</w:t>
            </w:r>
          </w:p>
          <w:p>
            <w:pPr>
              <w:widowControl/>
              <w:spacing w:line="360" w:lineRule="auto"/>
              <w:ind w:firstLine="462" w:firstLineChars="200"/>
              <w:rPr>
                <w:color w:val="FF0000"/>
              </w:rPr>
            </w:pPr>
            <w:r>
              <w:rPr>
                <w:rFonts w:hint="eastAsia" w:ascii="宋体" w:cs="宋体"/>
                <w:color w:val="000000"/>
                <w:kern w:val="0"/>
                <w:sz w:val="24"/>
                <w:szCs w:val="24"/>
              </w:rPr>
              <w:t>施工期间，污水管的敷设、开挖土方的堆存、地表植被的破坏，可能会引起区域水土流火。主要包括:土方流失、弃渣流火、破坏地面植被造成水土流尖、施工活动造成的水土流尖等。</w:t>
            </w:r>
            <w:r>
              <w:rPr>
                <w:rFonts w:hint="eastAsia" w:ascii="宋体" w:cs="宋体"/>
                <w:color w:val="000000"/>
                <w:kern w:val="0"/>
                <w:sz w:val="24"/>
                <w:szCs w:val="24"/>
              </w:rPr>
              <w:br w:type="textWrapping"/>
            </w:r>
            <w:r>
              <w:rPr>
                <w:rFonts w:hint="eastAsia" w:ascii="宋体" w:cs="宋体"/>
                <w:color w:val="000000"/>
                <w:kern w:val="0"/>
                <w:sz w:val="24"/>
                <w:szCs w:val="24"/>
              </w:rPr>
              <w:t>     为减轻工程水土流火现象，评价提出以下防治措施:</w:t>
            </w:r>
            <w:r>
              <w:rPr>
                <w:rFonts w:hint="eastAsia" w:ascii="宋体" w:cs="宋体"/>
                <w:color w:val="000000"/>
                <w:kern w:val="0"/>
                <w:sz w:val="24"/>
                <w:szCs w:val="24"/>
              </w:rPr>
              <w:br w:type="textWrapping"/>
            </w:r>
            <w:r>
              <w:rPr>
                <w:rFonts w:hint="eastAsia" w:ascii="宋体" w:cs="宋体"/>
                <w:color w:val="000000"/>
                <w:kern w:val="0"/>
                <w:sz w:val="24"/>
                <w:szCs w:val="24"/>
              </w:rPr>
              <w:t>    (1) 设计要求做到“挖填平衡”，施工中的弃土应首先利用作回填使用；</w:t>
            </w:r>
            <w:r>
              <w:rPr>
                <w:rFonts w:hint="eastAsia" w:ascii="宋体" w:cs="宋体"/>
                <w:color w:val="000000"/>
                <w:kern w:val="0"/>
                <w:sz w:val="24"/>
                <w:szCs w:val="24"/>
              </w:rPr>
              <w:br w:type="textWrapping"/>
            </w:r>
            <w:r>
              <w:rPr>
                <w:rFonts w:hint="eastAsia" w:ascii="宋体" w:cs="宋体"/>
                <w:color w:val="000000"/>
                <w:kern w:val="0"/>
                <w:sz w:val="24"/>
                <w:szCs w:val="24"/>
              </w:rPr>
              <w:t>    (2) 坑凹回填，应根据坑凹容积与废土的体积，合理安排废土的运行路线与倾倒方式，提高回填利用率；</w:t>
            </w:r>
            <w:r>
              <w:rPr>
                <w:rFonts w:hint="eastAsia" w:ascii="宋体" w:cs="宋体"/>
                <w:color w:val="000000"/>
                <w:kern w:val="0"/>
                <w:sz w:val="24"/>
                <w:szCs w:val="24"/>
              </w:rPr>
              <w:br w:type="textWrapping"/>
            </w:r>
            <w:r>
              <w:rPr>
                <w:rFonts w:hint="eastAsia" w:ascii="宋体" w:cs="宋体"/>
                <w:color w:val="000000"/>
                <w:kern w:val="0"/>
                <w:sz w:val="24"/>
                <w:szCs w:val="24"/>
              </w:rPr>
              <w:t>    (3) 坑凹回填后应进一步平整地面，表层覆土；</w:t>
            </w:r>
            <w:r>
              <w:rPr>
                <w:rFonts w:hint="eastAsia" w:ascii="宋体" w:cs="宋体"/>
                <w:color w:val="000000"/>
                <w:kern w:val="0"/>
                <w:sz w:val="24"/>
                <w:szCs w:val="24"/>
              </w:rPr>
              <w:br w:type="textWrapping"/>
            </w:r>
            <w:r>
              <w:rPr>
                <w:rFonts w:hint="eastAsia" w:ascii="宋体" w:cs="宋体"/>
                <w:color w:val="000000"/>
                <w:kern w:val="0"/>
                <w:sz w:val="24"/>
                <w:szCs w:val="24"/>
              </w:rPr>
              <w:t>    (4) 施工中临时的土方和弃渣等固体物，按要求交由君山区渣土办处理； 堆放时间过长的，要给予布制进行覆盖防护，修建一定高度的围堰和排水沟，防止漫流，减少水土流火量；临时堆场设置排水沟以减少水土流尖；</w:t>
            </w:r>
            <w:r>
              <w:rPr>
                <w:rFonts w:hint="eastAsia" w:ascii="宋体" w:cs="宋体"/>
                <w:color w:val="000000"/>
                <w:kern w:val="0"/>
                <w:sz w:val="24"/>
                <w:szCs w:val="24"/>
              </w:rPr>
              <w:br w:type="textWrapping"/>
            </w:r>
            <w:r>
              <w:rPr>
                <w:rFonts w:hint="eastAsia" w:ascii="宋体" w:cs="宋体"/>
                <w:color w:val="000000"/>
                <w:kern w:val="0"/>
                <w:sz w:val="24"/>
                <w:szCs w:val="24"/>
              </w:rPr>
              <w:t>    (5) 水土保护方案设计、实施期限应与主体工程建设期相一致。对于施工中弃土、弃石等根据具体情况，可先行或穿插修建相应的水土保持工程；</w:t>
            </w:r>
            <w:r>
              <w:rPr>
                <w:rFonts w:hint="eastAsia" w:ascii="宋体" w:cs="宋体"/>
                <w:color w:val="000000"/>
                <w:kern w:val="0"/>
                <w:sz w:val="24"/>
                <w:szCs w:val="24"/>
              </w:rPr>
              <w:br w:type="textWrapping"/>
            </w:r>
            <w:r>
              <w:rPr>
                <w:rFonts w:hint="eastAsia" w:ascii="宋体" w:cs="宋体"/>
                <w:color w:val="000000"/>
                <w:kern w:val="0"/>
                <w:sz w:val="24"/>
                <w:szCs w:val="24"/>
              </w:rPr>
              <w:t>    污水管网系统施工完成后，按照统一的绿化方案种植一定的绿化带进行植被的恢复，在采取以上生态保护措施后，当地生态环境均可得到相应的补偿和恢复。</w:t>
            </w:r>
          </w:p>
        </w:tc>
      </w:tr>
    </w:tbl>
    <w:p>
      <w:pPr>
        <w:snapToGrid w:val="0"/>
        <w:jc w:val="left"/>
        <w:outlineLvl w:val="0"/>
        <w:rPr>
          <w:b/>
          <w:color w:val="000000"/>
        </w:rPr>
      </w:pPr>
      <w:r>
        <w:rPr>
          <w:color w:val="FF0000"/>
        </w:rPr>
        <w:br w:type="page"/>
      </w:r>
      <w:bookmarkStart w:id="11" w:name="_Toc460481182"/>
      <w:r>
        <w:rPr>
          <w:rFonts w:hint="eastAsia" w:eastAsia="黑体"/>
          <w:b/>
          <w:color w:val="000000"/>
          <w:sz w:val="32"/>
        </w:rPr>
        <w:t>九、</w:t>
      </w:r>
      <w:r>
        <w:rPr>
          <w:rFonts w:eastAsia="黑体"/>
          <w:b/>
          <w:color w:val="000000"/>
          <w:sz w:val="32"/>
        </w:rPr>
        <w:t>结论与建议</w:t>
      </w:r>
      <w:bookmarkEnd w:id="11"/>
      <w:bookmarkStart w:id="12" w:name="_GoBack"/>
      <w:bookmarkEnd w:id="12"/>
      <w:r>
        <w:rPr>
          <w:b/>
          <w:color w:val="000000"/>
        </w:rPr>
        <w:t> </w:t>
      </w:r>
    </w:p>
    <w:tbl>
      <w:tblPr>
        <w:tblStyle w:val="19"/>
        <w:tblW w:w="9356" w:type="dxa"/>
        <w:jc w:val="center"/>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85" w:type="dxa"/>
          <w:bottom w:w="0" w:type="dxa"/>
          <w:right w:w="85" w:type="dxa"/>
        </w:tblCellMar>
      </w:tblPr>
      <w:tblGrid>
        <w:gridCol w:w="9330"/>
        <w:gridCol w:w="26"/>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85" w:type="dxa"/>
            <w:bottom w:w="0" w:type="dxa"/>
            <w:right w:w="85" w:type="dxa"/>
          </w:tblCellMar>
        </w:tblPrEx>
        <w:trPr>
          <w:trHeight w:val="13397" w:hRule="atLeast"/>
          <w:jc w:val="center"/>
        </w:trPr>
        <w:tc>
          <w:tcPr>
            <w:tcW w:w="9356" w:type="dxa"/>
            <w:gridSpan w:val="2"/>
          </w:tcPr>
          <w:p>
            <w:pPr>
              <w:snapToGrid w:val="0"/>
              <w:spacing w:line="520" w:lineRule="exact"/>
              <w:ind w:firstLine="542" w:firstLineChars="200"/>
              <w:contextualSpacing/>
              <w:rPr>
                <w:b/>
                <w:color w:val="000000"/>
                <w:sz w:val="28"/>
                <w:szCs w:val="28"/>
              </w:rPr>
            </w:pPr>
            <w:r>
              <w:rPr>
                <w:rFonts w:hint="eastAsia"/>
                <w:b/>
                <w:color w:val="000000"/>
                <w:sz w:val="28"/>
                <w:szCs w:val="28"/>
              </w:rPr>
              <w:t>1、</w:t>
            </w:r>
            <w:r>
              <w:rPr>
                <w:b/>
                <w:color w:val="000000"/>
                <w:sz w:val="28"/>
                <w:szCs w:val="28"/>
              </w:rPr>
              <w:t>结论</w:t>
            </w:r>
          </w:p>
          <w:p>
            <w:pPr>
              <w:snapToGrid w:val="0"/>
              <w:spacing w:line="520" w:lineRule="exact"/>
              <w:ind w:firstLine="462" w:firstLineChars="200"/>
              <w:contextualSpacing/>
              <w:rPr>
                <w:bCs/>
                <w:color w:val="000000"/>
                <w:sz w:val="24"/>
                <w:szCs w:val="24"/>
              </w:rPr>
            </w:pPr>
            <w:r>
              <w:rPr>
                <w:rFonts w:hAnsi="宋体"/>
                <w:bCs/>
                <w:color w:val="000000"/>
                <w:sz w:val="24"/>
                <w:szCs w:val="24"/>
              </w:rPr>
              <w:t>（</w:t>
            </w:r>
            <w:r>
              <w:rPr>
                <w:bCs/>
                <w:color w:val="000000"/>
                <w:sz w:val="24"/>
                <w:szCs w:val="24"/>
              </w:rPr>
              <w:t>1</w:t>
            </w:r>
            <w:r>
              <w:rPr>
                <w:rFonts w:hAnsi="宋体"/>
                <w:bCs/>
                <w:color w:val="000000"/>
                <w:sz w:val="24"/>
                <w:szCs w:val="24"/>
              </w:rPr>
              <w:t>）项目概况</w:t>
            </w:r>
          </w:p>
          <w:p>
            <w:pPr>
              <w:snapToGrid w:val="0"/>
              <w:spacing w:line="520" w:lineRule="exact"/>
              <w:ind w:firstLine="462" w:firstLineChars="200"/>
              <w:contextualSpacing/>
              <w:rPr>
                <w:bCs/>
                <w:color w:val="000000"/>
                <w:sz w:val="24"/>
                <w:szCs w:val="24"/>
              </w:rPr>
            </w:pPr>
            <w:r>
              <w:rPr>
                <w:bCs/>
                <w:color w:val="000000"/>
                <w:sz w:val="24"/>
                <w:szCs w:val="24"/>
              </w:rPr>
              <w:t>本项目为</w:t>
            </w:r>
            <w:r>
              <w:rPr>
                <w:rFonts w:hint="eastAsia"/>
                <w:sz w:val="24"/>
              </w:rPr>
              <w:t>岳阳市君山区中心城区旅游路片区排水工程</w:t>
            </w:r>
            <w:r>
              <w:rPr>
                <w:bCs/>
                <w:color w:val="000000"/>
                <w:sz w:val="24"/>
                <w:szCs w:val="24"/>
              </w:rPr>
              <w:t>，项目管网主要承担君山中心城区</w:t>
            </w:r>
            <w:r>
              <w:rPr>
                <w:rFonts w:hint="eastAsia"/>
                <w:bCs/>
                <w:color w:val="000000"/>
                <w:sz w:val="24"/>
                <w:szCs w:val="24"/>
              </w:rPr>
              <w:t>旅游路片区</w:t>
            </w:r>
            <w:r>
              <w:rPr>
                <w:bCs/>
                <w:color w:val="000000"/>
                <w:sz w:val="24"/>
                <w:szCs w:val="24"/>
              </w:rPr>
              <w:t>居民生活污水和工业废水的收集工作，管网的收集规模为</w:t>
            </w:r>
            <w:r>
              <w:rPr>
                <w:rFonts w:hint="eastAsia"/>
                <w:bCs/>
                <w:color w:val="000000"/>
                <w:sz w:val="24"/>
                <w:szCs w:val="24"/>
              </w:rPr>
              <w:t>1.49</w:t>
            </w:r>
            <w:r>
              <w:rPr>
                <w:bCs/>
                <w:color w:val="000000"/>
                <w:sz w:val="24"/>
                <w:szCs w:val="24"/>
              </w:rPr>
              <w:t>万吨/d；</w:t>
            </w:r>
            <w:r>
              <w:rPr>
                <w:rFonts w:eastAsia="新宋体"/>
                <w:sz w:val="24"/>
              </w:rPr>
              <w:t>项目排水管网总计</w:t>
            </w:r>
            <w:r>
              <w:rPr>
                <w:rFonts w:hint="eastAsia" w:eastAsia="新宋体"/>
                <w:sz w:val="24"/>
              </w:rPr>
              <w:t>30430</w:t>
            </w:r>
            <w:r>
              <w:rPr>
                <w:rFonts w:eastAsia="新宋体"/>
                <w:sz w:val="24"/>
              </w:rPr>
              <w:t>m，</w:t>
            </w:r>
            <w:r>
              <w:rPr>
                <w:rFonts w:hint="eastAsia" w:eastAsia="新宋体"/>
                <w:sz w:val="24"/>
              </w:rPr>
              <w:t>污水管道总长为16425m，其中</w:t>
            </w:r>
            <w:r>
              <w:rPr>
                <w:rFonts w:eastAsia="新宋体"/>
                <w:sz w:val="24"/>
              </w:rPr>
              <w:t>支管型号为</w:t>
            </w:r>
            <w:r>
              <w:rPr>
                <w:rFonts w:hint="eastAsia" w:eastAsia="新宋体"/>
                <w:sz w:val="24"/>
              </w:rPr>
              <w:t>DN800、DN500</w:t>
            </w:r>
            <w:r>
              <w:rPr>
                <w:rFonts w:eastAsia="新宋体"/>
                <w:sz w:val="24"/>
              </w:rPr>
              <w:t>，长度</w:t>
            </w:r>
            <w:r>
              <w:rPr>
                <w:rFonts w:hint="eastAsia" w:eastAsia="新宋体"/>
                <w:sz w:val="24"/>
              </w:rPr>
              <w:t>分别</w:t>
            </w:r>
            <w:r>
              <w:rPr>
                <w:rFonts w:eastAsia="新宋体"/>
                <w:sz w:val="24"/>
              </w:rPr>
              <w:t>为</w:t>
            </w:r>
            <w:r>
              <w:rPr>
                <w:rFonts w:hint="eastAsia" w:eastAsia="新宋体"/>
                <w:sz w:val="24"/>
              </w:rPr>
              <w:t>3880</w:t>
            </w:r>
            <w:r>
              <w:rPr>
                <w:rFonts w:eastAsia="新宋体"/>
                <w:sz w:val="24"/>
              </w:rPr>
              <w:t>m</w:t>
            </w:r>
            <w:r>
              <w:rPr>
                <w:rFonts w:hint="eastAsia" w:eastAsia="新宋体"/>
                <w:sz w:val="24"/>
              </w:rPr>
              <w:t>、4527m</w:t>
            </w:r>
            <w:r>
              <w:rPr>
                <w:rFonts w:eastAsia="新宋体"/>
                <w:sz w:val="24"/>
              </w:rPr>
              <w:t>；</w:t>
            </w:r>
            <w:r>
              <w:rPr>
                <w:rFonts w:hint="eastAsia" w:eastAsia="新宋体"/>
                <w:sz w:val="24"/>
              </w:rPr>
              <w:t>雨水管道总长度为14008m，其中</w:t>
            </w:r>
            <w:r>
              <w:rPr>
                <w:rFonts w:eastAsia="新宋体"/>
                <w:sz w:val="24"/>
              </w:rPr>
              <w:t>支管型号为</w:t>
            </w:r>
            <w:r>
              <w:rPr>
                <w:rFonts w:hint="eastAsia" w:eastAsia="新宋体"/>
                <w:sz w:val="24"/>
              </w:rPr>
              <w:t>DN1000、DN1200、DN1400</w:t>
            </w:r>
            <w:r>
              <w:rPr>
                <w:rFonts w:eastAsia="新宋体"/>
                <w:sz w:val="24"/>
              </w:rPr>
              <w:t>，长度</w:t>
            </w:r>
            <w:r>
              <w:rPr>
                <w:rFonts w:hint="eastAsia" w:eastAsia="新宋体"/>
                <w:sz w:val="24"/>
              </w:rPr>
              <w:t>分别</w:t>
            </w:r>
            <w:r>
              <w:rPr>
                <w:rFonts w:eastAsia="新宋体"/>
                <w:sz w:val="24"/>
              </w:rPr>
              <w:t>为</w:t>
            </w:r>
            <w:r>
              <w:rPr>
                <w:rFonts w:hint="eastAsia" w:eastAsia="新宋体"/>
                <w:sz w:val="24"/>
              </w:rPr>
              <w:t>9534</w:t>
            </w:r>
            <w:r>
              <w:rPr>
                <w:rFonts w:eastAsia="新宋体"/>
                <w:sz w:val="24"/>
              </w:rPr>
              <w:t>m</w:t>
            </w:r>
            <w:r>
              <w:rPr>
                <w:rFonts w:hint="eastAsia" w:eastAsia="新宋体"/>
                <w:sz w:val="24"/>
              </w:rPr>
              <w:t>、2790m、1684m</w:t>
            </w:r>
            <w:r>
              <w:rPr>
                <w:rFonts w:eastAsia="新宋体"/>
                <w:sz w:val="24"/>
              </w:rPr>
              <w:t>。</w:t>
            </w:r>
            <w:r>
              <w:rPr>
                <w:bCs/>
                <w:color w:val="000000"/>
                <w:sz w:val="24"/>
                <w:szCs w:val="24"/>
              </w:rPr>
              <w:t>项目总投资为</w:t>
            </w:r>
            <w:r>
              <w:rPr>
                <w:rFonts w:hint="eastAsia"/>
                <w:sz w:val="24"/>
              </w:rPr>
              <w:t>8383.05</w:t>
            </w:r>
            <w:r>
              <w:rPr>
                <w:bCs/>
                <w:color w:val="000000"/>
                <w:sz w:val="24"/>
                <w:szCs w:val="24"/>
              </w:rPr>
              <w:t>万元，环保投资为</w:t>
            </w:r>
            <w:r>
              <w:rPr>
                <w:rFonts w:hint="eastAsia"/>
                <w:bCs/>
                <w:color w:val="000000"/>
                <w:sz w:val="24"/>
                <w:szCs w:val="24"/>
              </w:rPr>
              <w:t>128</w:t>
            </w:r>
            <w:r>
              <w:rPr>
                <w:bCs/>
                <w:color w:val="000000"/>
                <w:sz w:val="24"/>
                <w:szCs w:val="24"/>
              </w:rPr>
              <w:t>万元。</w:t>
            </w:r>
          </w:p>
          <w:p>
            <w:pPr>
              <w:snapToGrid w:val="0"/>
              <w:spacing w:line="520" w:lineRule="exact"/>
              <w:ind w:firstLine="462" w:firstLineChars="200"/>
              <w:contextualSpacing/>
              <w:rPr>
                <w:bCs/>
                <w:color w:val="000000"/>
                <w:sz w:val="24"/>
                <w:szCs w:val="24"/>
              </w:rPr>
            </w:pPr>
            <w:r>
              <w:rPr>
                <w:bCs/>
                <w:color w:val="000000"/>
                <w:sz w:val="24"/>
                <w:szCs w:val="24"/>
              </w:rPr>
              <w:t>（2）产业政策及规划符合性</w:t>
            </w:r>
          </w:p>
          <w:p>
            <w:pPr>
              <w:snapToGrid w:val="0"/>
              <w:spacing w:line="520" w:lineRule="exact"/>
              <w:ind w:firstLine="462" w:firstLineChars="200"/>
              <w:contextualSpacing/>
              <w:rPr>
                <w:bCs/>
                <w:color w:val="000000"/>
                <w:sz w:val="24"/>
                <w:szCs w:val="24"/>
              </w:rPr>
            </w:pPr>
            <w:r>
              <w:rPr>
                <w:bCs/>
                <w:color w:val="000000"/>
                <w:sz w:val="24"/>
                <w:szCs w:val="24"/>
              </w:rPr>
              <w:t>1）产业政策相符性分析</w:t>
            </w:r>
          </w:p>
          <w:p>
            <w:pPr>
              <w:snapToGrid w:val="0"/>
              <w:spacing w:line="520" w:lineRule="exact"/>
              <w:ind w:firstLine="462" w:firstLineChars="200"/>
              <w:contextualSpacing/>
              <w:rPr>
                <w:bCs/>
                <w:color w:val="000000"/>
                <w:sz w:val="24"/>
                <w:szCs w:val="24"/>
              </w:rPr>
            </w:pPr>
            <w:r>
              <w:rPr>
                <w:bCs/>
                <w:color w:val="000000"/>
                <w:sz w:val="24"/>
                <w:szCs w:val="24"/>
              </w:rPr>
              <w:t>本项目属于城市排水设施建设项目，属于国家发改委《产业结构调整指导目录（2011年本）（2013年修正）》鼓励类中第二十二类“城镇基础设施”中的第9款“城镇供排水管网工程、供水水源及净化厂工程”项目，因此本项目为鼓励类。因此，本项目符合国家产业政策。</w:t>
            </w:r>
          </w:p>
          <w:p>
            <w:pPr>
              <w:snapToGrid w:val="0"/>
              <w:spacing w:line="520" w:lineRule="exact"/>
              <w:ind w:firstLine="462" w:firstLineChars="200"/>
              <w:contextualSpacing/>
              <w:rPr>
                <w:bCs/>
                <w:color w:val="000000"/>
                <w:sz w:val="24"/>
                <w:szCs w:val="24"/>
              </w:rPr>
            </w:pPr>
            <w:r>
              <w:rPr>
                <w:bCs/>
                <w:color w:val="000000"/>
                <w:sz w:val="24"/>
                <w:szCs w:val="24"/>
              </w:rPr>
              <w:t>2）规划相符性分析</w:t>
            </w:r>
          </w:p>
          <w:p>
            <w:pPr>
              <w:snapToGrid w:val="0"/>
              <w:spacing w:line="520" w:lineRule="exact"/>
              <w:ind w:firstLine="462" w:firstLineChars="200"/>
              <w:contextualSpacing/>
              <w:rPr>
                <w:bCs/>
                <w:color w:val="000000"/>
                <w:sz w:val="24"/>
                <w:szCs w:val="24"/>
              </w:rPr>
            </w:pPr>
            <w:r>
              <w:rPr>
                <w:bCs/>
                <w:color w:val="000000"/>
                <w:sz w:val="24"/>
                <w:szCs w:val="24"/>
              </w:rPr>
              <w:t>根据《君山区柳林洲镇镇区排水专项规划》（2014~2020）规划目标：“以完善污水收集系统，提高城市污水综合处理能力，逐步实现污水资源化，提高水资源的利用率，使经济发展与生态平衡统一为目标。规划末期，管网覆盖率达到95%以上，生活污水处理率达到95%以上，工业污水处理率达到100%。规划区域内建成完整、顺畅的雨水排放系统及防洪排渍系统”。综上所述，本项目建设符合君山区柳林洲镇排水规划的要求。</w:t>
            </w:r>
          </w:p>
          <w:p>
            <w:pPr>
              <w:snapToGrid w:val="0"/>
              <w:spacing w:line="520" w:lineRule="exact"/>
              <w:ind w:firstLine="462" w:firstLineChars="200"/>
              <w:contextualSpacing/>
              <w:rPr>
                <w:bCs/>
                <w:color w:val="000000"/>
                <w:sz w:val="24"/>
                <w:szCs w:val="24"/>
              </w:rPr>
            </w:pPr>
            <w:r>
              <w:rPr>
                <w:rFonts w:hint="eastAsia"/>
                <w:bCs/>
                <w:color w:val="000000"/>
                <w:sz w:val="24"/>
                <w:szCs w:val="24"/>
              </w:rPr>
              <w:t>（3）区域</w:t>
            </w:r>
            <w:r>
              <w:rPr>
                <w:bCs/>
                <w:color w:val="000000"/>
                <w:sz w:val="24"/>
                <w:szCs w:val="24"/>
              </w:rPr>
              <w:t>环境</w:t>
            </w:r>
            <w:r>
              <w:rPr>
                <w:rFonts w:hint="eastAsia"/>
                <w:bCs/>
                <w:color w:val="000000"/>
                <w:sz w:val="24"/>
                <w:szCs w:val="24"/>
              </w:rPr>
              <w:t>质量结论</w:t>
            </w:r>
          </w:p>
          <w:p>
            <w:pPr>
              <w:snapToGrid w:val="0"/>
              <w:spacing w:line="520" w:lineRule="exact"/>
              <w:ind w:firstLine="462" w:firstLineChars="200"/>
              <w:contextualSpacing/>
              <w:rPr>
                <w:bCs/>
                <w:color w:val="000000"/>
                <w:sz w:val="24"/>
                <w:szCs w:val="24"/>
              </w:rPr>
            </w:pPr>
            <w:r>
              <w:rPr>
                <w:bCs/>
                <w:color w:val="000000"/>
                <w:sz w:val="24"/>
                <w:szCs w:val="24"/>
              </w:rPr>
              <w:t>环境空气质量现状：项目区域内环境空气质量达到《环境空气质量标准》（GB3095-2012）中的二级标准，环境空气质量良好。</w:t>
            </w:r>
          </w:p>
          <w:p>
            <w:pPr>
              <w:snapToGrid w:val="0"/>
              <w:spacing w:line="520" w:lineRule="exact"/>
              <w:ind w:firstLine="462" w:firstLineChars="200"/>
              <w:contextualSpacing/>
              <w:rPr>
                <w:bCs/>
                <w:color w:val="000000"/>
                <w:sz w:val="24"/>
                <w:szCs w:val="24"/>
              </w:rPr>
            </w:pPr>
            <w:r>
              <w:rPr>
                <w:bCs/>
                <w:color w:val="000000"/>
                <w:sz w:val="24"/>
                <w:szCs w:val="24"/>
              </w:rPr>
              <w:t>水环境质量现状：由地表水环境现状监测数据可知，所监测的各项指标均达到《地表水环境质量标准》（GB3838-2002）中III类水域标准。</w:t>
            </w:r>
          </w:p>
          <w:p>
            <w:pPr>
              <w:snapToGrid w:val="0"/>
              <w:spacing w:line="520" w:lineRule="exact"/>
              <w:ind w:firstLine="462" w:firstLineChars="200"/>
              <w:contextualSpacing/>
              <w:rPr>
                <w:bCs/>
                <w:color w:val="000000"/>
                <w:sz w:val="24"/>
                <w:szCs w:val="24"/>
              </w:rPr>
            </w:pPr>
            <w:r>
              <w:rPr>
                <w:bCs/>
                <w:color w:val="000000"/>
                <w:sz w:val="24"/>
                <w:szCs w:val="24"/>
              </w:rPr>
              <w:t>声环境质量现状：从噪声现场监测数据与评价标准对比可知，项目所在地的声环境质量达到了《声环境质量标准》（GB3096-2008）中的2类标准。</w:t>
            </w:r>
          </w:p>
          <w:p>
            <w:pPr>
              <w:snapToGrid w:val="0"/>
              <w:spacing w:line="520" w:lineRule="exact"/>
              <w:ind w:firstLine="462" w:firstLineChars="200"/>
              <w:contextualSpacing/>
              <w:rPr>
                <w:bCs/>
                <w:color w:val="000000"/>
                <w:sz w:val="24"/>
                <w:szCs w:val="24"/>
              </w:rPr>
            </w:pPr>
            <w:r>
              <w:rPr>
                <w:rFonts w:hint="eastAsia"/>
                <w:bCs/>
                <w:color w:val="000000"/>
                <w:sz w:val="24"/>
                <w:szCs w:val="24"/>
              </w:rPr>
              <w:t>（4）环境影响分析及结论</w:t>
            </w:r>
          </w:p>
          <w:p>
            <w:pPr>
              <w:wordWrap w:val="0"/>
              <w:topLinePunct/>
              <w:snapToGrid w:val="0"/>
              <w:spacing w:line="520" w:lineRule="exact"/>
              <w:ind w:firstLine="462" w:firstLineChars="200"/>
              <w:contextualSpacing/>
              <w:rPr>
                <w:color w:val="000000"/>
                <w:sz w:val="24"/>
              </w:rPr>
            </w:pPr>
            <w:r>
              <w:rPr>
                <w:color w:val="000000"/>
                <w:sz w:val="24"/>
              </w:rPr>
              <w:t>1）施工期水环境影响分析</w:t>
            </w:r>
          </w:p>
          <w:p>
            <w:pPr>
              <w:wordWrap w:val="0"/>
              <w:topLinePunct/>
              <w:snapToGrid w:val="0"/>
              <w:spacing w:line="520" w:lineRule="exact"/>
              <w:ind w:firstLine="462" w:firstLineChars="200"/>
              <w:contextualSpacing/>
              <w:rPr>
                <w:color w:val="000000"/>
                <w:sz w:val="24"/>
              </w:rPr>
            </w:pPr>
            <w:r>
              <w:rPr>
                <w:color w:val="000000"/>
                <w:sz w:val="24"/>
              </w:rPr>
              <w:t>项目施工期不设施工营地，施工人员生活污水依托租用居民化粪池进行处理，经化粪池处理后用作农肥；项目施工过程中设置隔油沉淀池对施工废水进行处理，处理后废水回用做洒水抑尘。采取上述水污染防治措施后，施工期产生的废水排放对周围水体影响不大。</w:t>
            </w:r>
          </w:p>
          <w:p>
            <w:pPr>
              <w:wordWrap w:val="0"/>
              <w:topLinePunct/>
              <w:snapToGrid w:val="0"/>
              <w:spacing w:line="520" w:lineRule="exact"/>
              <w:ind w:firstLine="462" w:firstLineChars="200"/>
              <w:contextualSpacing/>
              <w:rPr>
                <w:color w:val="000000"/>
                <w:sz w:val="24"/>
              </w:rPr>
            </w:pPr>
            <w:r>
              <w:rPr>
                <w:color w:val="000000"/>
                <w:sz w:val="24"/>
              </w:rPr>
              <w:t>2）施工期环境空气影响分析</w:t>
            </w:r>
          </w:p>
          <w:p>
            <w:pPr>
              <w:wordWrap w:val="0"/>
              <w:topLinePunct/>
              <w:snapToGrid w:val="0"/>
              <w:spacing w:line="520" w:lineRule="exact"/>
              <w:ind w:firstLine="462" w:firstLineChars="200"/>
              <w:contextualSpacing/>
              <w:rPr>
                <w:color w:val="000000"/>
                <w:sz w:val="24"/>
              </w:rPr>
            </w:pPr>
            <w:r>
              <w:rPr>
                <w:color w:val="000000"/>
                <w:sz w:val="24"/>
              </w:rPr>
              <w:t>本项目施工期对空气环境的污染主要来自施工工地扬尘、施工机械尾气。通过采取定期对施工场地进行洒水降尘、物料堆场四周设置挡风网（墙）等措施后，施工扬尘可得到有效控制；项目施工机械、汽车尾气经大气扩散、植被吸收后对周围环境空气质量影响很小。采取上述污染防治措施后，施工期排放废气对周围环境影响很小。</w:t>
            </w:r>
          </w:p>
          <w:p>
            <w:pPr>
              <w:wordWrap w:val="0"/>
              <w:topLinePunct/>
              <w:snapToGrid w:val="0"/>
              <w:spacing w:line="520" w:lineRule="exact"/>
              <w:ind w:firstLine="462" w:firstLineChars="200"/>
              <w:contextualSpacing/>
              <w:rPr>
                <w:color w:val="000000"/>
                <w:sz w:val="24"/>
              </w:rPr>
            </w:pPr>
            <w:r>
              <w:rPr>
                <w:color w:val="000000"/>
                <w:sz w:val="24"/>
              </w:rPr>
              <w:t>3）施工期声环境影响分析</w:t>
            </w:r>
          </w:p>
          <w:p>
            <w:pPr>
              <w:snapToGrid w:val="0"/>
              <w:spacing w:line="520" w:lineRule="exact"/>
              <w:ind w:firstLine="462" w:firstLineChars="200"/>
              <w:contextualSpacing/>
              <w:rPr>
                <w:color w:val="000000"/>
                <w:sz w:val="24"/>
              </w:rPr>
            </w:pPr>
            <w:r>
              <w:rPr>
                <w:color w:val="000000"/>
                <w:sz w:val="24"/>
              </w:rPr>
              <w:t>施工噪声主要为各种作业机械（挖掘机等）和运输车辆施工产生的噪声；施工期应严格落实本环评提出的相关环保措施，如合理安排施工时间，制定施工计划。尽可能避免大量高噪声设备同时施工，施工时间尽量安排在昼间，为保证居民夜间休息，强噪声机械夜间（22：00~6：00）应避免施工，在距离居民区较近设置隔声屏障等。采取相关措施后，可将施工机械噪声对周围声环境的影响降到可接受范围内，且影响是短暂的，随着施工的结束而消失。</w:t>
            </w:r>
          </w:p>
          <w:p>
            <w:pPr>
              <w:wordWrap w:val="0"/>
              <w:topLinePunct/>
              <w:snapToGrid w:val="0"/>
              <w:spacing w:line="520" w:lineRule="exact"/>
              <w:ind w:firstLine="462" w:firstLineChars="200"/>
              <w:contextualSpacing/>
              <w:rPr>
                <w:color w:val="000000"/>
                <w:sz w:val="24"/>
              </w:rPr>
            </w:pPr>
            <w:r>
              <w:rPr>
                <w:color w:val="000000"/>
                <w:sz w:val="24"/>
              </w:rPr>
              <w:t>4）施工期固体废物影响分析</w:t>
            </w:r>
          </w:p>
          <w:p>
            <w:pPr>
              <w:wordWrap w:val="0"/>
              <w:topLinePunct/>
              <w:snapToGrid w:val="0"/>
              <w:spacing w:line="520" w:lineRule="exact"/>
              <w:ind w:firstLine="462" w:firstLineChars="200"/>
              <w:contextualSpacing/>
              <w:rPr>
                <w:color w:val="000000"/>
                <w:sz w:val="24"/>
              </w:rPr>
            </w:pPr>
            <w:r>
              <w:rPr>
                <w:color w:val="000000"/>
                <w:sz w:val="24"/>
              </w:rPr>
              <w:t>施工期固体废物主要包括管槽开挖产生废筑路材料、建筑垃圾。</w:t>
            </w:r>
          </w:p>
          <w:p>
            <w:pPr>
              <w:wordWrap w:val="0"/>
              <w:topLinePunct/>
              <w:snapToGrid w:val="0"/>
              <w:spacing w:line="520" w:lineRule="exact"/>
              <w:ind w:firstLine="462" w:firstLineChars="200"/>
              <w:contextualSpacing/>
              <w:rPr>
                <w:color w:val="000000"/>
                <w:sz w:val="24"/>
              </w:rPr>
            </w:pPr>
            <w:r>
              <w:rPr>
                <w:color w:val="000000"/>
                <w:sz w:val="24"/>
              </w:rPr>
              <w:t>项目建筑垃圾、废筑路材料尽可能利用，不能利用的由君山区渣土办处置，严禁乱堆乱放。在采取相关措施后，可使本项目施工过程中固体废物得到妥善处置，对周围环境影响较小。</w:t>
            </w:r>
          </w:p>
          <w:p>
            <w:pPr>
              <w:wordWrap w:val="0"/>
              <w:topLinePunct/>
              <w:snapToGrid w:val="0"/>
              <w:spacing w:line="520" w:lineRule="exact"/>
              <w:ind w:firstLine="462" w:firstLineChars="200"/>
              <w:contextualSpacing/>
              <w:rPr>
                <w:color w:val="000000"/>
                <w:sz w:val="24"/>
              </w:rPr>
            </w:pPr>
            <w:r>
              <w:rPr>
                <w:color w:val="000000"/>
                <w:sz w:val="24"/>
              </w:rPr>
              <w:t>5）施工期生态环境影响分析</w:t>
            </w:r>
          </w:p>
          <w:p>
            <w:pPr>
              <w:wordWrap w:val="0"/>
              <w:topLinePunct/>
              <w:snapToGrid w:val="0"/>
              <w:spacing w:line="520" w:lineRule="exact"/>
              <w:ind w:firstLine="462" w:firstLineChars="200"/>
              <w:contextualSpacing/>
              <w:rPr>
                <w:color w:val="000000"/>
                <w:sz w:val="24"/>
              </w:rPr>
            </w:pPr>
            <w:r>
              <w:rPr>
                <w:color w:val="000000"/>
                <w:sz w:val="24"/>
              </w:rPr>
              <w:t>施工期裸露地表易造成水土流失，通过合理安排施工工段，防止暴雨径流对开挖面的冲刷，设备堆放场采取覆盖措施，施工完成后及时恢复原状，可大大减少水土流失的影响。</w:t>
            </w:r>
          </w:p>
          <w:p>
            <w:pPr>
              <w:wordWrap w:val="0"/>
              <w:topLinePunct/>
              <w:snapToGrid w:val="0"/>
              <w:spacing w:line="520" w:lineRule="exact"/>
              <w:ind w:firstLine="462" w:firstLineChars="200"/>
              <w:contextualSpacing/>
              <w:rPr>
                <w:color w:val="000000"/>
                <w:sz w:val="24"/>
              </w:rPr>
            </w:pPr>
            <w:r>
              <w:rPr>
                <w:rFonts w:hint="eastAsia"/>
                <w:color w:val="000000"/>
                <w:sz w:val="24"/>
              </w:rPr>
              <w:t>6）营运</w:t>
            </w:r>
            <w:r>
              <w:rPr>
                <w:color w:val="000000"/>
                <w:sz w:val="24"/>
              </w:rPr>
              <w:t>期环境影响分析</w:t>
            </w:r>
          </w:p>
          <w:p>
            <w:pPr>
              <w:spacing w:line="360" w:lineRule="auto"/>
              <w:ind w:firstLine="462" w:firstLineChars="200"/>
              <w:rPr>
                <w:kern w:val="0"/>
                <w:sz w:val="24"/>
                <w:szCs w:val="21"/>
              </w:rPr>
            </w:pPr>
            <w:r>
              <w:rPr>
                <w:rFonts w:hint="eastAsia"/>
                <w:kern w:val="0"/>
                <w:sz w:val="24"/>
                <w:szCs w:val="21"/>
              </w:rPr>
              <w:t>本项目不属于工业项目，运营过程无生产工艺，本项目不设泵站房和管理用房，也不新增工作人员，因此本项目运营期无任何污染物产生。</w:t>
            </w:r>
          </w:p>
          <w:p>
            <w:pPr>
              <w:snapToGrid w:val="0"/>
              <w:spacing w:line="520" w:lineRule="exact"/>
              <w:ind w:firstLine="462" w:firstLineChars="200"/>
              <w:contextualSpacing/>
              <w:rPr>
                <w:bCs/>
                <w:color w:val="000000"/>
                <w:sz w:val="24"/>
                <w:szCs w:val="24"/>
              </w:rPr>
            </w:pPr>
            <w:r>
              <w:rPr>
                <w:rFonts w:hint="eastAsia"/>
                <w:bCs/>
                <w:color w:val="000000"/>
                <w:sz w:val="24"/>
                <w:szCs w:val="24"/>
              </w:rPr>
              <w:t>（5）环评总结论</w:t>
            </w:r>
          </w:p>
          <w:p>
            <w:pPr>
              <w:wordWrap w:val="0"/>
              <w:topLinePunct/>
              <w:snapToGrid w:val="0"/>
              <w:spacing w:line="520" w:lineRule="exact"/>
              <w:ind w:firstLine="462" w:firstLineChars="200"/>
              <w:contextualSpacing/>
              <w:rPr>
                <w:color w:val="000000"/>
                <w:sz w:val="24"/>
              </w:rPr>
            </w:pPr>
            <w:r>
              <w:rPr>
                <w:rFonts w:hint="eastAsia"/>
                <w:color w:val="000000"/>
                <w:sz w:val="24"/>
              </w:rPr>
              <w:t>君山区中心城区排水设施建设项目为非生产性项目。</w:t>
            </w:r>
            <w:r>
              <w:rPr>
                <w:color w:val="000000"/>
                <w:sz w:val="24"/>
              </w:rPr>
              <w:t>通过评价分析，建设单位在落实好环保资金和本环评提出的各项污染防治措施的前提下，加强环境管理，切实做到“三同时”，项目建设对周边环境影响很小，没有环境制约因素。因此，从</w:t>
            </w:r>
            <w:r>
              <w:rPr>
                <w:rFonts w:hint="eastAsia"/>
                <w:color w:val="000000"/>
                <w:sz w:val="24"/>
              </w:rPr>
              <w:t>环境保护</w:t>
            </w:r>
            <w:r>
              <w:rPr>
                <w:color w:val="000000"/>
                <w:sz w:val="24"/>
              </w:rPr>
              <w:t>角度考虑本项目的建设是可行的。</w:t>
            </w:r>
          </w:p>
          <w:p>
            <w:pPr>
              <w:snapToGrid w:val="0"/>
              <w:spacing w:line="520" w:lineRule="exact"/>
              <w:ind w:firstLine="582" w:firstLineChars="200"/>
              <w:contextualSpacing/>
              <w:rPr>
                <w:b/>
                <w:color w:val="000000"/>
                <w:sz w:val="30"/>
                <w:szCs w:val="30"/>
              </w:rPr>
            </w:pPr>
            <w:r>
              <w:rPr>
                <w:rFonts w:hint="eastAsia"/>
                <w:b/>
                <w:color w:val="000000"/>
                <w:sz w:val="30"/>
                <w:szCs w:val="30"/>
              </w:rPr>
              <w:t>2、建议</w:t>
            </w:r>
          </w:p>
          <w:p>
            <w:pPr>
              <w:wordWrap w:val="0"/>
              <w:topLinePunct/>
              <w:snapToGrid w:val="0"/>
              <w:spacing w:line="520" w:lineRule="exact"/>
              <w:ind w:firstLine="462" w:firstLineChars="200"/>
              <w:contextualSpacing/>
              <w:rPr>
                <w:color w:val="000000"/>
                <w:sz w:val="24"/>
              </w:rPr>
            </w:pPr>
            <w:r>
              <w:rPr>
                <w:color w:val="000000"/>
                <w:sz w:val="24"/>
              </w:rPr>
              <w:t>（1）</w:t>
            </w:r>
            <w:r>
              <w:rPr>
                <w:rFonts w:hint="eastAsia"/>
                <w:color w:val="000000"/>
                <w:sz w:val="24"/>
              </w:rPr>
              <w:t>本项目必须保证足够的环保资金，以实施与项目有关的各项治污措施。</w:t>
            </w:r>
          </w:p>
          <w:p>
            <w:pPr>
              <w:wordWrap w:val="0"/>
              <w:topLinePunct/>
              <w:snapToGrid w:val="0"/>
              <w:spacing w:line="520" w:lineRule="exact"/>
              <w:ind w:firstLine="462" w:firstLineChars="200"/>
              <w:contextualSpacing/>
              <w:rPr>
                <w:color w:val="000000"/>
                <w:sz w:val="24"/>
              </w:rPr>
            </w:pPr>
            <w:r>
              <w:rPr>
                <w:color w:val="000000"/>
                <w:sz w:val="24"/>
              </w:rPr>
              <w:t>（2）</w:t>
            </w:r>
            <w:r>
              <w:rPr>
                <w:rFonts w:hint="eastAsia"/>
                <w:color w:val="000000"/>
                <w:sz w:val="24"/>
              </w:rPr>
              <w:t>落实各种污染防治措施，平时加强管理，注重环保，落实“三同时”。</w:t>
            </w:r>
          </w:p>
          <w:p>
            <w:pPr>
              <w:wordWrap w:val="0"/>
              <w:topLinePunct/>
              <w:snapToGrid w:val="0"/>
              <w:spacing w:line="520" w:lineRule="exact"/>
              <w:ind w:firstLine="462" w:firstLineChars="200"/>
              <w:contextualSpacing/>
              <w:rPr>
                <w:color w:val="000000"/>
                <w:sz w:val="24"/>
              </w:rPr>
            </w:pPr>
            <w:r>
              <w:rPr>
                <w:rFonts w:hint="eastAsia"/>
                <w:color w:val="000000"/>
                <w:sz w:val="24"/>
              </w:rPr>
              <w:t>（3）建立健全施工安全、环保管理制度，应将环保责任制纳入施工招标合同，施工工程监理中应配备环保专职人员，确保施工期环保措施的落实。</w:t>
            </w:r>
          </w:p>
          <w:p>
            <w:pPr>
              <w:spacing w:line="360" w:lineRule="auto"/>
              <w:rPr>
                <w:color w:val="FF0000"/>
                <w:kern w:val="24"/>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85" w:type="dxa"/>
            <w:bottom w:w="0" w:type="dxa"/>
            <w:right w:w="85" w:type="dxa"/>
          </w:tblCellMar>
        </w:tblPrEx>
        <w:trPr>
          <w:trHeight w:val="6600" w:hRule="atLeast"/>
          <w:jc w:val="center"/>
        </w:trPr>
        <w:tc>
          <w:tcPr>
            <w:tcW w:w="9356" w:type="dxa"/>
            <w:gridSpan w:val="2"/>
          </w:tcPr>
          <w:p>
            <w:pPr>
              <w:snapToGrid w:val="0"/>
              <w:spacing w:before="360"/>
              <w:ind w:right="113"/>
              <w:rPr>
                <w:rFonts w:eastAsia="黑体"/>
                <w:color w:val="000000"/>
                <w:kern w:val="24"/>
                <w:sz w:val="28"/>
                <w:szCs w:val="28"/>
              </w:rPr>
            </w:pPr>
            <w:r>
              <w:rPr>
                <w:rFonts w:eastAsia="黑体"/>
                <w:color w:val="000000"/>
                <w:sz w:val="28"/>
                <w:szCs w:val="28"/>
              </w:rPr>
              <w:t>预审意见：</w:t>
            </w: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color w:val="000000"/>
                <w:kern w:val="24"/>
                <w:sz w:val="28"/>
                <w:szCs w:val="28"/>
              </w:rPr>
            </w:pPr>
          </w:p>
          <w:p>
            <w:pPr>
              <w:snapToGrid w:val="0"/>
              <w:spacing w:before="120"/>
              <w:ind w:left="113" w:right="113"/>
              <w:rPr>
                <w:b/>
                <w:color w:val="000000"/>
                <w:kern w:val="24"/>
                <w:sz w:val="28"/>
                <w:szCs w:val="28"/>
              </w:rPr>
            </w:pPr>
            <w:r>
              <w:rPr>
                <w:color w:val="000000"/>
                <w:sz w:val="28"/>
                <w:szCs w:val="28"/>
              </w:rPr>
              <w:t xml:space="preserve">                                        </w:t>
            </w:r>
            <w:r>
              <w:rPr>
                <w:b/>
                <w:color w:val="000000"/>
                <w:sz w:val="28"/>
                <w:szCs w:val="28"/>
              </w:rPr>
              <w:t xml:space="preserve"> </w:t>
            </w:r>
            <w:r>
              <w:rPr>
                <w:rFonts w:hint="eastAsia"/>
                <w:b/>
                <w:color w:val="000000"/>
                <w:sz w:val="28"/>
                <w:szCs w:val="28"/>
              </w:rPr>
              <w:t xml:space="preserve">        </w:t>
            </w:r>
            <w:r>
              <w:rPr>
                <w:b/>
                <w:color w:val="000000"/>
                <w:sz w:val="28"/>
                <w:szCs w:val="28"/>
              </w:rPr>
              <w:t xml:space="preserve">        公章</w:t>
            </w:r>
          </w:p>
          <w:p>
            <w:pPr>
              <w:snapToGrid w:val="0"/>
              <w:spacing w:before="120"/>
              <w:ind w:left="113" w:right="113"/>
              <w:rPr>
                <w:b/>
                <w:color w:val="000000"/>
                <w:kern w:val="24"/>
                <w:sz w:val="28"/>
                <w:szCs w:val="28"/>
              </w:rPr>
            </w:pPr>
          </w:p>
          <w:p>
            <w:pPr>
              <w:snapToGrid w:val="0"/>
              <w:spacing w:before="120"/>
              <w:ind w:left="113" w:right="113"/>
              <w:rPr>
                <w:b/>
                <w:color w:val="000000"/>
                <w:kern w:val="24"/>
                <w:sz w:val="28"/>
                <w:szCs w:val="28"/>
              </w:rPr>
            </w:pPr>
            <w:r>
              <w:rPr>
                <w:b/>
                <w:color w:val="000000"/>
                <w:sz w:val="28"/>
                <w:szCs w:val="28"/>
              </w:rPr>
              <w:t xml:space="preserve">经办人：                      </w:t>
            </w:r>
            <w:r>
              <w:rPr>
                <w:rFonts w:hint="eastAsia"/>
                <w:b/>
                <w:color w:val="000000"/>
                <w:sz w:val="28"/>
                <w:szCs w:val="28"/>
              </w:rPr>
              <w:t xml:space="preserve">      </w:t>
            </w:r>
            <w:r>
              <w:rPr>
                <w:b/>
                <w:color w:val="000000"/>
                <w:sz w:val="28"/>
                <w:szCs w:val="28"/>
              </w:rPr>
              <w:t xml:space="preserve">   </w:t>
            </w:r>
            <w:r>
              <w:rPr>
                <w:rFonts w:hint="eastAsia"/>
                <w:b/>
                <w:color w:val="000000"/>
                <w:sz w:val="28"/>
                <w:szCs w:val="28"/>
              </w:rPr>
              <w:t xml:space="preserve">    </w:t>
            </w:r>
            <w:r>
              <w:rPr>
                <w:b/>
                <w:color w:val="000000"/>
                <w:sz w:val="28"/>
                <w:szCs w:val="28"/>
              </w:rPr>
              <w:t xml:space="preserve">          年    月    日</w:t>
            </w:r>
          </w:p>
          <w:p>
            <w:pPr>
              <w:snapToGrid w:val="0"/>
              <w:spacing w:before="120"/>
              <w:ind w:left="113" w:right="113"/>
              <w:rPr>
                <w:color w:val="000000"/>
                <w:kern w:val="24"/>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85" w:type="dxa"/>
            <w:bottom w:w="0" w:type="dxa"/>
            <w:right w:w="85" w:type="dxa"/>
          </w:tblCellMar>
        </w:tblPrEx>
        <w:trPr>
          <w:trHeight w:val="6800" w:hRule="atLeast"/>
          <w:jc w:val="center"/>
        </w:trPr>
        <w:tc>
          <w:tcPr>
            <w:tcW w:w="9356" w:type="dxa"/>
            <w:gridSpan w:val="2"/>
          </w:tcPr>
          <w:p>
            <w:pPr>
              <w:snapToGrid w:val="0"/>
              <w:spacing w:before="360"/>
              <w:ind w:left="113" w:right="113"/>
              <w:rPr>
                <w:b/>
                <w:color w:val="000000"/>
                <w:sz w:val="28"/>
                <w:szCs w:val="28"/>
              </w:rPr>
            </w:pPr>
            <w:r>
              <w:rPr>
                <w:b/>
                <w:color w:val="000000"/>
                <w:sz w:val="28"/>
                <w:szCs w:val="28"/>
              </w:rPr>
              <w:t>下一级环境保护行政主管部门审查意见：</w:t>
            </w: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r>
              <w:rPr>
                <w:b/>
                <w:color w:val="000000"/>
                <w:sz w:val="28"/>
                <w:szCs w:val="28"/>
              </w:rPr>
              <w:t xml:space="preserve">                                     </w:t>
            </w:r>
            <w:r>
              <w:rPr>
                <w:rFonts w:hint="eastAsia"/>
                <w:b/>
                <w:color w:val="000000"/>
                <w:sz w:val="28"/>
                <w:szCs w:val="28"/>
              </w:rPr>
              <w:t xml:space="preserve">         </w:t>
            </w:r>
            <w:r>
              <w:rPr>
                <w:b/>
                <w:color w:val="000000"/>
                <w:sz w:val="28"/>
                <w:szCs w:val="28"/>
              </w:rPr>
              <w:t xml:space="preserve">            公章</w:t>
            </w:r>
          </w:p>
          <w:p>
            <w:pPr>
              <w:snapToGrid w:val="0"/>
              <w:spacing w:before="120"/>
              <w:ind w:left="113" w:right="113"/>
              <w:rPr>
                <w:b/>
                <w:color w:val="000000"/>
                <w:sz w:val="28"/>
                <w:szCs w:val="28"/>
              </w:rPr>
            </w:pPr>
          </w:p>
          <w:p>
            <w:pPr>
              <w:snapToGrid w:val="0"/>
              <w:spacing w:before="120"/>
              <w:ind w:left="113" w:right="113"/>
              <w:rPr>
                <w:b/>
                <w:color w:val="000000"/>
                <w:sz w:val="28"/>
                <w:szCs w:val="28"/>
              </w:rPr>
            </w:pPr>
            <w:r>
              <w:rPr>
                <w:b/>
                <w:color w:val="000000"/>
                <w:sz w:val="28"/>
                <w:szCs w:val="28"/>
              </w:rPr>
              <w:t xml:space="preserve">经办人：                           </w:t>
            </w:r>
            <w:r>
              <w:rPr>
                <w:rFonts w:hint="eastAsia"/>
                <w:b/>
                <w:color w:val="000000"/>
                <w:sz w:val="28"/>
                <w:szCs w:val="28"/>
              </w:rPr>
              <w:t xml:space="preserve">           </w:t>
            </w:r>
            <w:r>
              <w:rPr>
                <w:b/>
                <w:color w:val="000000"/>
                <w:sz w:val="28"/>
                <w:szCs w:val="28"/>
              </w:rPr>
              <w:t xml:space="preserve">       年    月    日</w:t>
            </w:r>
          </w:p>
          <w:p>
            <w:pPr>
              <w:snapToGrid w:val="0"/>
              <w:spacing w:before="120"/>
              <w:ind w:left="113" w:right="113"/>
              <w:rPr>
                <w:color w:val="000000"/>
                <w:kern w:val="24"/>
                <w:sz w:val="28"/>
              </w:rPr>
            </w:pPr>
          </w:p>
          <w:p>
            <w:pPr>
              <w:snapToGrid w:val="0"/>
              <w:spacing w:before="120"/>
              <w:ind w:left="113" w:right="113"/>
              <w:rPr>
                <w:color w:val="000000"/>
                <w:kern w:val="24"/>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85" w:type="dxa"/>
            <w:bottom w:w="0" w:type="dxa"/>
            <w:right w:w="85" w:type="dxa"/>
          </w:tblCellMar>
        </w:tblPrEx>
        <w:trPr>
          <w:gridAfter w:val="1"/>
          <w:wAfter w:w="26" w:type="dxa"/>
          <w:trHeight w:val="13268" w:hRule="atLeast"/>
          <w:jc w:val="center"/>
        </w:trPr>
        <w:tc>
          <w:tcPr>
            <w:tcW w:w="9330" w:type="dxa"/>
            <w:tcBorders>
              <w:top w:val="single" w:color="auto" w:sz="12" w:space="0"/>
              <w:left w:val="single" w:color="auto" w:sz="12" w:space="0"/>
              <w:bottom w:val="single" w:color="auto" w:sz="12" w:space="0"/>
              <w:right w:val="single" w:color="auto" w:sz="12" w:space="0"/>
            </w:tcBorders>
          </w:tcPr>
          <w:p>
            <w:pPr>
              <w:snapToGrid w:val="0"/>
              <w:spacing w:before="120"/>
              <w:ind w:left="113" w:right="113"/>
              <w:rPr>
                <w:b/>
                <w:color w:val="000000"/>
                <w:sz w:val="28"/>
                <w:szCs w:val="28"/>
              </w:rPr>
            </w:pPr>
            <w:r>
              <w:rPr>
                <w:b/>
                <w:color w:val="000000"/>
                <w:sz w:val="28"/>
                <w:szCs w:val="28"/>
              </w:rPr>
              <w:t>审批意见：</w:t>
            </w: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p>
          <w:p>
            <w:pPr>
              <w:snapToGrid w:val="0"/>
              <w:spacing w:before="120"/>
              <w:ind w:left="113" w:right="113"/>
              <w:rPr>
                <w:b/>
                <w:color w:val="000000"/>
                <w:sz w:val="28"/>
                <w:szCs w:val="28"/>
              </w:rPr>
            </w:pPr>
            <w:r>
              <w:rPr>
                <w:b/>
                <w:color w:val="000000"/>
                <w:sz w:val="28"/>
                <w:szCs w:val="28"/>
              </w:rPr>
              <w:t xml:space="preserve">                                                </w:t>
            </w:r>
            <w:r>
              <w:rPr>
                <w:rFonts w:hint="eastAsia"/>
                <w:b/>
                <w:color w:val="000000"/>
                <w:sz w:val="28"/>
                <w:szCs w:val="28"/>
              </w:rPr>
              <w:t xml:space="preserve"> </w:t>
            </w:r>
            <w:r>
              <w:rPr>
                <w:b/>
                <w:color w:val="000000"/>
                <w:sz w:val="28"/>
                <w:szCs w:val="28"/>
              </w:rPr>
              <w:t xml:space="preserve">          公章</w:t>
            </w:r>
          </w:p>
          <w:p>
            <w:pPr>
              <w:snapToGrid w:val="0"/>
              <w:spacing w:before="120"/>
              <w:ind w:left="113" w:right="113"/>
              <w:rPr>
                <w:b/>
                <w:color w:val="000000"/>
                <w:sz w:val="28"/>
                <w:szCs w:val="28"/>
              </w:rPr>
            </w:pPr>
          </w:p>
          <w:p>
            <w:pPr>
              <w:snapToGrid w:val="0"/>
              <w:spacing w:before="120"/>
              <w:ind w:left="113" w:right="113"/>
              <w:rPr>
                <w:b/>
                <w:color w:val="000000"/>
                <w:sz w:val="28"/>
                <w:szCs w:val="28"/>
              </w:rPr>
            </w:pPr>
            <w:r>
              <w:rPr>
                <w:b/>
                <w:color w:val="000000"/>
                <w:sz w:val="28"/>
                <w:szCs w:val="28"/>
              </w:rPr>
              <w:t>经办人：                                            年    月    日</w:t>
            </w:r>
          </w:p>
          <w:p>
            <w:pPr>
              <w:snapToGrid w:val="0"/>
              <w:spacing w:before="120"/>
              <w:ind w:right="113"/>
              <w:rPr>
                <w:color w:val="000000"/>
                <w:kern w:val="24"/>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85" w:type="dxa"/>
            <w:bottom w:w="0" w:type="dxa"/>
            <w:right w:w="85" w:type="dxa"/>
          </w:tblCellMar>
        </w:tblPrEx>
        <w:trPr>
          <w:gridAfter w:val="1"/>
          <w:wAfter w:w="26" w:type="dxa"/>
          <w:trHeight w:val="13431" w:hRule="atLeast"/>
          <w:jc w:val="center"/>
        </w:trPr>
        <w:tc>
          <w:tcPr>
            <w:tcW w:w="9330" w:type="dxa"/>
            <w:vAlign w:val="center"/>
          </w:tcPr>
          <w:p>
            <w:pPr>
              <w:pStyle w:val="27"/>
              <w:spacing w:line="360" w:lineRule="auto"/>
              <w:jc w:val="center"/>
              <w:rPr>
                <w:rFonts w:eastAsia="黑体"/>
                <w:color w:val="000000"/>
                <w:sz w:val="32"/>
              </w:rPr>
            </w:pPr>
            <w:r>
              <w:rPr>
                <w:rFonts w:hint="eastAsia" w:eastAsia="黑体"/>
                <w:color w:val="000000"/>
                <w:sz w:val="32"/>
              </w:rPr>
              <w:t>注          释</w:t>
            </w:r>
          </w:p>
          <w:p>
            <w:pPr>
              <w:pStyle w:val="27"/>
              <w:spacing w:line="360" w:lineRule="auto"/>
              <w:rPr>
                <w:color w:val="000000"/>
                <w:sz w:val="28"/>
              </w:rPr>
            </w:pPr>
            <w:r>
              <w:rPr>
                <w:rFonts w:hint="eastAsia"/>
                <w:color w:val="000000"/>
              </w:rPr>
              <w:t xml:space="preserve">    </w:t>
            </w:r>
            <w:r>
              <w:rPr>
                <w:rFonts w:hint="eastAsia"/>
                <w:color w:val="000000"/>
                <w:sz w:val="28"/>
              </w:rPr>
              <w:t>一、本报告表应附以下附件、附图：</w:t>
            </w:r>
          </w:p>
          <w:p>
            <w:pPr>
              <w:spacing w:line="360" w:lineRule="auto"/>
              <w:ind w:firstLine="462" w:firstLineChars="200"/>
              <w:rPr>
                <w:color w:val="000000"/>
                <w:sz w:val="24"/>
              </w:rPr>
            </w:pPr>
            <w:r>
              <w:rPr>
                <w:rFonts w:hint="eastAsia" w:hAnsi="宋体"/>
                <w:color w:val="000000"/>
                <w:sz w:val="24"/>
              </w:rPr>
              <w:t>（见目录部分）</w:t>
            </w:r>
          </w:p>
          <w:p>
            <w:pPr>
              <w:pStyle w:val="27"/>
              <w:spacing w:line="360" w:lineRule="auto"/>
              <w:rPr>
                <w:color w:val="000000"/>
                <w:sz w:val="28"/>
              </w:rPr>
            </w:pPr>
          </w:p>
          <w:p>
            <w:pPr>
              <w:pStyle w:val="27"/>
              <w:spacing w:line="360" w:lineRule="auto"/>
              <w:rPr>
                <w:color w:val="000000"/>
                <w:sz w:val="28"/>
              </w:rPr>
            </w:pPr>
          </w:p>
          <w:p>
            <w:pPr>
              <w:pStyle w:val="27"/>
              <w:spacing w:line="360" w:lineRule="auto"/>
              <w:ind w:firstLine="480"/>
              <w:rPr>
                <w:color w:val="000000"/>
                <w:sz w:val="28"/>
              </w:rPr>
            </w:pPr>
            <w:r>
              <w:rPr>
                <w:rFonts w:hint="eastAsia"/>
                <w:color w:val="000000"/>
                <w:sz w:val="28"/>
              </w:rPr>
              <w:t>二、如果本报告表不能说明项目产生的污染及对环境造成的影响，应进行专项评价。根据建设项目的特点和当地环境特征，应选下列1－2项进行专项评价。</w:t>
            </w:r>
          </w:p>
          <w:p>
            <w:pPr>
              <w:pStyle w:val="27"/>
              <w:spacing w:line="360" w:lineRule="auto"/>
              <w:ind w:firstLine="480"/>
              <w:rPr>
                <w:color w:val="000000"/>
                <w:sz w:val="28"/>
              </w:rPr>
            </w:pPr>
            <w:r>
              <w:rPr>
                <w:rFonts w:hint="eastAsia"/>
                <w:color w:val="000000"/>
                <w:sz w:val="28"/>
              </w:rPr>
              <w:t>1. 大气环境影响专项评价</w:t>
            </w:r>
          </w:p>
          <w:p>
            <w:pPr>
              <w:pStyle w:val="27"/>
              <w:spacing w:line="360" w:lineRule="auto"/>
              <w:ind w:firstLine="480"/>
              <w:rPr>
                <w:color w:val="000000"/>
                <w:sz w:val="28"/>
              </w:rPr>
            </w:pPr>
            <w:r>
              <w:rPr>
                <w:rFonts w:hint="eastAsia"/>
                <w:color w:val="000000"/>
                <w:sz w:val="28"/>
              </w:rPr>
              <w:t>2. 水环境影响专项评价(包括地表水和地下水)</w:t>
            </w:r>
          </w:p>
          <w:p>
            <w:pPr>
              <w:pStyle w:val="27"/>
              <w:spacing w:line="360" w:lineRule="auto"/>
              <w:ind w:firstLine="480"/>
              <w:rPr>
                <w:color w:val="000000"/>
                <w:sz w:val="28"/>
              </w:rPr>
            </w:pPr>
            <w:r>
              <w:rPr>
                <w:rFonts w:hint="eastAsia"/>
                <w:color w:val="000000"/>
                <w:sz w:val="28"/>
              </w:rPr>
              <w:t>3. 生态影响专项评价</w:t>
            </w:r>
          </w:p>
          <w:p>
            <w:pPr>
              <w:pStyle w:val="27"/>
              <w:spacing w:line="360" w:lineRule="auto"/>
              <w:ind w:firstLine="480"/>
              <w:rPr>
                <w:color w:val="000000"/>
                <w:sz w:val="28"/>
              </w:rPr>
            </w:pPr>
            <w:r>
              <w:rPr>
                <w:rFonts w:hint="eastAsia"/>
                <w:color w:val="000000"/>
                <w:sz w:val="28"/>
              </w:rPr>
              <w:t>4. 声影响专项评价</w:t>
            </w:r>
          </w:p>
          <w:p>
            <w:pPr>
              <w:pStyle w:val="27"/>
              <w:spacing w:line="360" w:lineRule="auto"/>
              <w:ind w:firstLine="480"/>
              <w:rPr>
                <w:color w:val="000000"/>
                <w:sz w:val="28"/>
              </w:rPr>
            </w:pPr>
            <w:r>
              <w:rPr>
                <w:rFonts w:hint="eastAsia"/>
                <w:color w:val="000000"/>
                <w:sz w:val="28"/>
              </w:rPr>
              <w:t>5. 土壤影响专项评价</w:t>
            </w:r>
          </w:p>
          <w:p>
            <w:pPr>
              <w:pStyle w:val="27"/>
              <w:spacing w:line="360" w:lineRule="auto"/>
              <w:ind w:firstLine="480"/>
              <w:rPr>
                <w:color w:val="000000"/>
                <w:sz w:val="28"/>
              </w:rPr>
            </w:pPr>
            <w:r>
              <w:rPr>
                <w:rFonts w:hint="eastAsia"/>
                <w:color w:val="000000"/>
                <w:sz w:val="28"/>
              </w:rPr>
              <w:t>6. 固体废物影响专项评价</w:t>
            </w:r>
          </w:p>
          <w:p>
            <w:pPr>
              <w:pStyle w:val="27"/>
              <w:spacing w:line="360" w:lineRule="auto"/>
              <w:ind w:firstLine="480"/>
              <w:rPr>
                <w:color w:val="000000"/>
                <w:sz w:val="28"/>
              </w:rPr>
            </w:pPr>
            <w:r>
              <w:rPr>
                <w:rFonts w:hint="eastAsia"/>
                <w:color w:val="000000"/>
                <w:sz w:val="28"/>
              </w:rPr>
              <w:t>以上专项评价中未包括的另列专项，专项评价按照《环境影响评价技术导则》中的要求进行。</w:t>
            </w:r>
          </w:p>
          <w:p>
            <w:pPr>
              <w:pStyle w:val="27"/>
              <w:spacing w:line="360" w:lineRule="auto"/>
              <w:rPr>
                <w:b/>
                <w:color w:val="000000"/>
                <w:sz w:val="32"/>
              </w:rPr>
            </w:pPr>
          </w:p>
          <w:p>
            <w:pPr>
              <w:pStyle w:val="27"/>
              <w:spacing w:line="360" w:lineRule="auto"/>
              <w:rPr>
                <w:b/>
                <w:color w:val="000000"/>
                <w:sz w:val="32"/>
              </w:rPr>
            </w:pPr>
          </w:p>
          <w:p>
            <w:pPr>
              <w:pStyle w:val="27"/>
              <w:spacing w:line="360" w:lineRule="auto"/>
              <w:rPr>
                <w:b/>
                <w:color w:val="000000"/>
                <w:sz w:val="32"/>
              </w:rPr>
            </w:pPr>
          </w:p>
          <w:p>
            <w:pPr>
              <w:pStyle w:val="27"/>
              <w:spacing w:line="360" w:lineRule="auto"/>
              <w:rPr>
                <w:b/>
                <w:color w:val="000000"/>
                <w:sz w:val="32"/>
              </w:rPr>
            </w:pPr>
          </w:p>
          <w:p>
            <w:pPr>
              <w:pStyle w:val="27"/>
              <w:spacing w:line="360" w:lineRule="auto"/>
              <w:rPr>
                <w:b/>
                <w:color w:val="000000"/>
                <w:sz w:val="32"/>
              </w:rPr>
            </w:pPr>
          </w:p>
        </w:tc>
      </w:tr>
    </w:tbl>
    <w:p/>
    <w:sectPr>
      <w:footerReference r:id="rId7" w:type="default"/>
      <w:pgSz w:w="11906" w:h="16838"/>
      <w:pgMar w:top="1418" w:right="1134" w:bottom="1418" w:left="1474" w:header="851" w:footer="992" w:gutter="0"/>
      <w:cols w:space="720" w:num="1"/>
      <w:docGrid w:type="linesAndChars" w:linePitch="324" w:charSpace="-20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TimesNewRomanPSMT">
    <w:altName w:val="Meiryo"/>
    <w:panose1 w:val="00000000000000000000"/>
    <w:charset w:val="80"/>
    <w:family w:val="auto"/>
    <w:pitch w:val="default"/>
    <w:sig w:usb0="00000000" w:usb1="00000000" w:usb2="00000010" w:usb3="00000000" w:csb0="0002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Meiryo">
    <w:panose1 w:val="020B0604030504040204"/>
    <w:charset w:val="80"/>
    <w:family w:val="auto"/>
    <w:pitch w:val="default"/>
    <w:sig w:usb0="E10102FF" w:usb1="EAC7FFFF" w:usb2="00010012" w:usb3="00000000" w:csb0="6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6"/>
      </w:rPr>
    </w:pPr>
    <w:r>
      <w:fldChar w:fldCharType="begin"/>
    </w:r>
    <w:r>
      <w:rPr>
        <w:rStyle w:val="16"/>
      </w:rPr>
      <w:instrText xml:space="preserve">PAGE  </w:instrTex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1</w:t>
    </w:r>
    <w: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24</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9EBCC"/>
    <w:multiLevelType w:val="singleLevel"/>
    <w:tmpl w:val="04C9EBCC"/>
    <w:lvl w:ilvl="0" w:tentative="0">
      <w:start w:val="2"/>
      <w:numFmt w:val="decimal"/>
      <w:suff w:val="nothing"/>
      <w:lvlText w:val="%1、"/>
      <w:lvlJc w:val="left"/>
    </w:lvl>
  </w:abstractNum>
  <w:abstractNum w:abstractNumId="1">
    <w:nsid w:val="2B25491B"/>
    <w:multiLevelType w:val="singleLevel"/>
    <w:tmpl w:val="2B25491B"/>
    <w:lvl w:ilvl="0" w:tentative="0">
      <w:start w:val="2"/>
      <w:numFmt w:val="decimal"/>
      <w:suff w:val="nothing"/>
      <w:lvlText w:val="%1）"/>
      <w:lvlJc w:val="left"/>
    </w:lvl>
  </w:abstractNum>
  <w:abstractNum w:abstractNumId="2">
    <w:nsid w:val="70EC2B6B"/>
    <w:multiLevelType w:val="singleLevel"/>
    <w:tmpl w:val="70EC2B6B"/>
    <w:lvl w:ilvl="0" w:tentative="0">
      <w:start w:val="2"/>
      <w:numFmt w:val="decimal"/>
      <w:suff w:val="nothing"/>
      <w:lvlText w:val="（%1）"/>
      <w:lvlJc w:val="left"/>
    </w:lvl>
  </w:abstractNum>
  <w:abstractNum w:abstractNumId="3">
    <w:nsid w:val="7E3D2E1E"/>
    <w:multiLevelType w:val="multilevel"/>
    <w:tmpl w:val="7E3D2E1E"/>
    <w:lvl w:ilvl="0" w:tentative="0">
      <w:start w:val="1"/>
      <w:numFmt w:val="upperRoman"/>
      <w:lvlText w:val="第 %1 条"/>
      <w:lvlJc w:val="left"/>
      <w:pPr>
        <w:tabs>
          <w:tab w:val="left" w:pos="1800"/>
        </w:tabs>
        <w:ind w:left="0" w:firstLine="0"/>
      </w:pPr>
    </w:lvl>
    <w:lvl w:ilvl="1" w:tentative="0">
      <w:start w:val="1"/>
      <w:numFmt w:val="decimalZero"/>
      <w:isLgl/>
      <w:lvlText w:val="节 %1.%2"/>
      <w:lvlJc w:val="left"/>
      <w:pPr>
        <w:tabs>
          <w:tab w:val="left" w:pos="1440"/>
        </w:tabs>
        <w:ind w:left="0" w:firstLine="0"/>
      </w:pPr>
    </w:lvl>
    <w:lvl w:ilvl="2" w:tentative="0">
      <w:start w:val="1"/>
      <w:numFmt w:val="lowerLetter"/>
      <w:pStyle w:val="2"/>
      <w:lvlText w:val="(%3)"/>
      <w:lvlJc w:val="left"/>
      <w:pPr>
        <w:tabs>
          <w:tab w:val="left" w:pos="1008"/>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8C09C0"/>
    <w:rsid w:val="000A6AC5"/>
    <w:rsid w:val="003D0B51"/>
    <w:rsid w:val="00706129"/>
    <w:rsid w:val="007912C9"/>
    <w:rsid w:val="00812B2C"/>
    <w:rsid w:val="009E131E"/>
    <w:rsid w:val="00DA4920"/>
    <w:rsid w:val="00EE184E"/>
    <w:rsid w:val="01607E1B"/>
    <w:rsid w:val="017758D6"/>
    <w:rsid w:val="02474055"/>
    <w:rsid w:val="02C73241"/>
    <w:rsid w:val="02CB47C8"/>
    <w:rsid w:val="0379357A"/>
    <w:rsid w:val="037C571F"/>
    <w:rsid w:val="03864636"/>
    <w:rsid w:val="04DD3414"/>
    <w:rsid w:val="06054D8B"/>
    <w:rsid w:val="0621542E"/>
    <w:rsid w:val="06ED1F2F"/>
    <w:rsid w:val="08DE11F9"/>
    <w:rsid w:val="09BA035B"/>
    <w:rsid w:val="0B4E4FB9"/>
    <w:rsid w:val="0BC70979"/>
    <w:rsid w:val="0D0F63CA"/>
    <w:rsid w:val="0D287DE0"/>
    <w:rsid w:val="0DAC405C"/>
    <w:rsid w:val="0F520F8D"/>
    <w:rsid w:val="103C3843"/>
    <w:rsid w:val="10E52224"/>
    <w:rsid w:val="110536A5"/>
    <w:rsid w:val="110F6D8F"/>
    <w:rsid w:val="133625B6"/>
    <w:rsid w:val="133B74E6"/>
    <w:rsid w:val="13933B19"/>
    <w:rsid w:val="14065859"/>
    <w:rsid w:val="140C18F9"/>
    <w:rsid w:val="142A6B57"/>
    <w:rsid w:val="1461441A"/>
    <w:rsid w:val="15700013"/>
    <w:rsid w:val="16B505FB"/>
    <w:rsid w:val="178C09C0"/>
    <w:rsid w:val="1836740E"/>
    <w:rsid w:val="18901C6D"/>
    <w:rsid w:val="1A4819B7"/>
    <w:rsid w:val="1C137DD8"/>
    <w:rsid w:val="1C225ECF"/>
    <w:rsid w:val="1D1B220F"/>
    <w:rsid w:val="1D28621E"/>
    <w:rsid w:val="1DC756D9"/>
    <w:rsid w:val="1DCF4874"/>
    <w:rsid w:val="1F7F182B"/>
    <w:rsid w:val="1FC0126D"/>
    <w:rsid w:val="1FDF1EB5"/>
    <w:rsid w:val="21BA33CD"/>
    <w:rsid w:val="226710FA"/>
    <w:rsid w:val="22EF7030"/>
    <w:rsid w:val="23F258E0"/>
    <w:rsid w:val="242C193D"/>
    <w:rsid w:val="25990C92"/>
    <w:rsid w:val="27D864B5"/>
    <w:rsid w:val="285247AF"/>
    <w:rsid w:val="28C31FAC"/>
    <w:rsid w:val="291C41DD"/>
    <w:rsid w:val="296E1871"/>
    <w:rsid w:val="298F033E"/>
    <w:rsid w:val="29991CEC"/>
    <w:rsid w:val="2AFA43F0"/>
    <w:rsid w:val="2B1A7243"/>
    <w:rsid w:val="2BEB37B2"/>
    <w:rsid w:val="2BFA46D1"/>
    <w:rsid w:val="2D6F5F3A"/>
    <w:rsid w:val="2E532269"/>
    <w:rsid w:val="2E71469E"/>
    <w:rsid w:val="2EE62966"/>
    <w:rsid w:val="3139271B"/>
    <w:rsid w:val="31A5062F"/>
    <w:rsid w:val="327A0B2A"/>
    <w:rsid w:val="37046633"/>
    <w:rsid w:val="37174261"/>
    <w:rsid w:val="3890660B"/>
    <w:rsid w:val="39356FB9"/>
    <w:rsid w:val="39A75DBA"/>
    <w:rsid w:val="3A120602"/>
    <w:rsid w:val="3A4B7DFB"/>
    <w:rsid w:val="3A6E77F2"/>
    <w:rsid w:val="3A846312"/>
    <w:rsid w:val="3AA035A0"/>
    <w:rsid w:val="3ADF398D"/>
    <w:rsid w:val="3BFE6C89"/>
    <w:rsid w:val="3D024880"/>
    <w:rsid w:val="3DA81749"/>
    <w:rsid w:val="3E0D3DEA"/>
    <w:rsid w:val="3ED97CE0"/>
    <w:rsid w:val="3F9F6E50"/>
    <w:rsid w:val="41505DFE"/>
    <w:rsid w:val="4531291B"/>
    <w:rsid w:val="45C742C9"/>
    <w:rsid w:val="4628079A"/>
    <w:rsid w:val="468838F4"/>
    <w:rsid w:val="47DD0F69"/>
    <w:rsid w:val="47F52041"/>
    <w:rsid w:val="4AA35ABA"/>
    <w:rsid w:val="4ADC26BB"/>
    <w:rsid w:val="4C9D2219"/>
    <w:rsid w:val="4D082BDA"/>
    <w:rsid w:val="4D270F78"/>
    <w:rsid w:val="4E8D3706"/>
    <w:rsid w:val="4EEF0D51"/>
    <w:rsid w:val="4F0E148B"/>
    <w:rsid w:val="4F1A5C26"/>
    <w:rsid w:val="4F6A2450"/>
    <w:rsid w:val="501507E6"/>
    <w:rsid w:val="50676347"/>
    <w:rsid w:val="507218E7"/>
    <w:rsid w:val="50D9196E"/>
    <w:rsid w:val="50DD6D16"/>
    <w:rsid w:val="51887F15"/>
    <w:rsid w:val="51C749D1"/>
    <w:rsid w:val="522A52ED"/>
    <w:rsid w:val="55554B6F"/>
    <w:rsid w:val="55CB2596"/>
    <w:rsid w:val="566E1CAB"/>
    <w:rsid w:val="572C276E"/>
    <w:rsid w:val="575F2013"/>
    <w:rsid w:val="58074FD1"/>
    <w:rsid w:val="5832349A"/>
    <w:rsid w:val="583F17F9"/>
    <w:rsid w:val="584F6B2C"/>
    <w:rsid w:val="58870541"/>
    <w:rsid w:val="588E2A22"/>
    <w:rsid w:val="5A1B2D4A"/>
    <w:rsid w:val="5C682BDE"/>
    <w:rsid w:val="5FBE136A"/>
    <w:rsid w:val="613E1E66"/>
    <w:rsid w:val="61F90494"/>
    <w:rsid w:val="62166FDC"/>
    <w:rsid w:val="62AF0D31"/>
    <w:rsid w:val="62B445BF"/>
    <w:rsid w:val="64E31A60"/>
    <w:rsid w:val="650C50ED"/>
    <w:rsid w:val="67234444"/>
    <w:rsid w:val="679F22B3"/>
    <w:rsid w:val="67F21F3B"/>
    <w:rsid w:val="68D91B20"/>
    <w:rsid w:val="69971309"/>
    <w:rsid w:val="6A935BAC"/>
    <w:rsid w:val="6AA77E23"/>
    <w:rsid w:val="6C1E7E46"/>
    <w:rsid w:val="6CAB19E7"/>
    <w:rsid w:val="6CC54B7B"/>
    <w:rsid w:val="6CFE5259"/>
    <w:rsid w:val="6D535020"/>
    <w:rsid w:val="6DF2139A"/>
    <w:rsid w:val="6EE26D88"/>
    <w:rsid w:val="6FA715F0"/>
    <w:rsid w:val="6FF21811"/>
    <w:rsid w:val="701F4046"/>
    <w:rsid w:val="71C5512D"/>
    <w:rsid w:val="722F215D"/>
    <w:rsid w:val="726138B2"/>
    <w:rsid w:val="72841E60"/>
    <w:rsid w:val="7302328B"/>
    <w:rsid w:val="733C0D0F"/>
    <w:rsid w:val="73FC21B9"/>
    <w:rsid w:val="740733CD"/>
    <w:rsid w:val="74B82613"/>
    <w:rsid w:val="76D40898"/>
    <w:rsid w:val="76F811A5"/>
    <w:rsid w:val="775D78DF"/>
    <w:rsid w:val="779F0108"/>
    <w:rsid w:val="7889380F"/>
    <w:rsid w:val="78982F0E"/>
    <w:rsid w:val="7A230415"/>
    <w:rsid w:val="7AE07232"/>
    <w:rsid w:val="7AE562AD"/>
    <w:rsid w:val="7BDF2527"/>
    <w:rsid w:val="7CE1645C"/>
    <w:rsid w:val="7D4577CD"/>
    <w:rsid w:val="7DB74E7E"/>
    <w:rsid w:val="7DFC358E"/>
    <w:rsid w:val="7EAD443B"/>
    <w:rsid w:val="7F097ADD"/>
    <w:rsid w:val="7FC36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numPr>
        <w:ilvl w:val="2"/>
        <w:numId w:val="1"/>
      </w:numPr>
      <w:spacing w:before="260" w:after="260" w:line="413" w:lineRule="auto"/>
      <w:outlineLvl w:val="2"/>
    </w:pPr>
    <w:rPr>
      <w:b/>
      <w:bCs/>
      <w:sz w:val="32"/>
      <w:szCs w:val="32"/>
    </w:rPr>
  </w:style>
  <w:style w:type="character" w:default="1" w:styleId="15">
    <w:name w:val="Default Paragraph Font"/>
    <w:semiHidden/>
    <w:unhideWhenUsed/>
    <w:uiPriority w:val="1"/>
  </w:style>
  <w:style w:type="table" w:default="1" w:styleId="19">
    <w:name w:val="Normal Table"/>
    <w:semiHidden/>
    <w:unhideWhenUsed/>
    <w:uiPriority w:val="99"/>
    <w:tblPr>
      <w:tblLayout w:type="fixed"/>
      <w:tblCellMar>
        <w:top w:w="0" w:type="dxa"/>
        <w:left w:w="108" w:type="dxa"/>
        <w:bottom w:w="0" w:type="dxa"/>
        <w:right w:w="108" w:type="dxa"/>
      </w:tblCellMar>
    </w:tblPr>
  </w:style>
  <w:style w:type="paragraph" w:styleId="3">
    <w:name w:val="annotation subject"/>
    <w:basedOn w:val="4"/>
    <w:next w:val="4"/>
    <w:link w:val="32"/>
    <w:uiPriority w:val="0"/>
    <w:rPr>
      <w:b/>
      <w:bCs/>
    </w:rPr>
  </w:style>
  <w:style w:type="paragraph" w:styleId="4">
    <w:name w:val="annotation text"/>
    <w:basedOn w:val="1"/>
    <w:link w:val="31"/>
    <w:uiPriority w:val="0"/>
    <w:pPr>
      <w:jc w:val="left"/>
    </w:pPr>
  </w:style>
  <w:style w:type="paragraph" w:styleId="5">
    <w:name w:val="Body Text First Indent"/>
    <w:basedOn w:val="6"/>
    <w:qFormat/>
    <w:uiPriority w:val="0"/>
    <w:pPr>
      <w:adjustRightInd w:val="0"/>
      <w:snapToGrid w:val="0"/>
      <w:spacing w:beforeLines="50" w:line="360" w:lineRule="auto"/>
      <w:ind w:firstLine="200" w:firstLineChars="200"/>
    </w:pPr>
    <w:rPr>
      <w:sz w:val="24"/>
    </w:rPr>
  </w:style>
  <w:style w:type="paragraph" w:styleId="6">
    <w:name w:val="Body Text"/>
    <w:basedOn w:val="1"/>
    <w:qFormat/>
    <w:uiPriority w:val="0"/>
  </w:style>
  <w:style w:type="paragraph" w:styleId="7">
    <w:name w:val="caption"/>
    <w:basedOn w:val="1"/>
    <w:next w:val="1"/>
    <w:unhideWhenUsed/>
    <w:qFormat/>
    <w:uiPriority w:val="0"/>
    <w:pPr>
      <w:adjustRightInd w:val="0"/>
      <w:snapToGrid w:val="0"/>
      <w:spacing w:line="360" w:lineRule="auto"/>
      <w:jc w:val="left"/>
    </w:pPr>
    <w:rPr>
      <w:rFonts w:eastAsia="黑体"/>
      <w:sz w:val="24"/>
    </w:rPr>
  </w:style>
  <w:style w:type="paragraph" w:styleId="8">
    <w:name w:val="Document Map"/>
    <w:basedOn w:val="1"/>
    <w:link w:val="29"/>
    <w:qFormat/>
    <w:uiPriority w:val="0"/>
    <w:rPr>
      <w:rFonts w:ascii="宋体" w:eastAsia="宋体"/>
      <w:sz w:val="18"/>
      <w:szCs w:val="18"/>
    </w:rPr>
  </w:style>
  <w:style w:type="paragraph" w:styleId="9">
    <w:name w:val="Plain Text"/>
    <w:basedOn w:val="1"/>
    <w:qFormat/>
    <w:uiPriority w:val="0"/>
    <w:rPr>
      <w:rFonts w:ascii="宋体" w:hAnsi="Courier New"/>
    </w:rPr>
  </w:style>
  <w:style w:type="paragraph" w:styleId="10">
    <w:name w:val="Balloon Text"/>
    <w:basedOn w:val="1"/>
    <w:link w:val="30"/>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0"/>
    <w:pPr>
      <w:tabs>
        <w:tab w:val="right" w:leader="dot" w:pos="8891"/>
      </w:tabs>
      <w:spacing w:line="360" w:lineRule="auto"/>
    </w:pPr>
    <w:rPr>
      <w:sz w:val="28"/>
    </w:rPr>
  </w:style>
  <w:style w:type="paragraph" w:styleId="14">
    <w:name w:val="Body Text Indent 3"/>
    <w:basedOn w:val="1"/>
    <w:qFormat/>
    <w:uiPriority w:val="0"/>
    <w:pPr>
      <w:spacing w:after="120"/>
      <w:ind w:left="420" w:leftChars="200"/>
    </w:pPr>
    <w:rPr>
      <w:sz w:val="16"/>
      <w:szCs w:val="16"/>
    </w:rPr>
  </w:style>
  <w:style w:type="character" w:styleId="16">
    <w:name w:val="page number"/>
    <w:basedOn w:val="15"/>
    <w:qFormat/>
    <w:uiPriority w:val="0"/>
  </w:style>
  <w:style w:type="character" w:styleId="17">
    <w:name w:val="Hyperlink"/>
    <w:qFormat/>
    <w:uiPriority w:val="0"/>
    <w:rPr>
      <w:color w:val="0000FF"/>
      <w:u w:val="single"/>
    </w:rPr>
  </w:style>
  <w:style w:type="character" w:styleId="18">
    <w:name w:val="annotation reference"/>
    <w:basedOn w:val="15"/>
    <w:uiPriority w:val="0"/>
    <w:rPr>
      <w:sz w:val="21"/>
      <w:szCs w:val="21"/>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1">
    <w:name w:val="Default"/>
    <w:qFormat/>
    <w:uiPriority w:val="0"/>
    <w:pPr>
      <w:widowControl w:val="0"/>
      <w:autoSpaceDE w:val="0"/>
      <w:autoSpaceDN w:val="0"/>
      <w:adjustRightInd w:val="0"/>
    </w:pPr>
    <w:rPr>
      <w:rFonts w:ascii="宋体" w:hAnsiTheme="minorHAnsi" w:eastAsiaTheme="minorEastAsia" w:cstheme="minorBidi"/>
      <w:color w:val="000000"/>
      <w:sz w:val="24"/>
      <w:szCs w:val="24"/>
      <w:lang w:val="en-US" w:eastAsia="zh-CN" w:bidi="ar-SA"/>
    </w:rPr>
  </w:style>
  <w:style w:type="paragraph" w:customStyle="1" w:styleId="22">
    <w:name w:val="表格文字"/>
    <w:basedOn w:val="1"/>
    <w:qFormat/>
    <w:uiPriority w:val="0"/>
    <w:pPr>
      <w:adjustRightInd w:val="0"/>
      <w:snapToGrid w:val="0"/>
      <w:jc w:val="center"/>
      <w:textAlignment w:val="center"/>
    </w:pPr>
  </w:style>
  <w:style w:type="paragraph" w:customStyle="1" w:styleId="23">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24">
    <w:name w:val="表格题注"/>
    <w:qFormat/>
    <w:uiPriority w:val="0"/>
    <w:pPr>
      <w:jc w:val="center"/>
    </w:pPr>
    <w:rPr>
      <w:rFonts w:asciiTheme="minorHAnsi" w:hAnsiTheme="minorHAnsi" w:eastAsiaTheme="minorEastAsia" w:cstheme="minorBidi"/>
      <w:b/>
      <w:sz w:val="21"/>
      <w:szCs w:val="22"/>
      <w:lang w:val="en-US" w:eastAsia="zh-CN" w:bidi="ar-SA"/>
    </w:rPr>
  </w:style>
  <w:style w:type="paragraph" w:customStyle="1" w:styleId="25">
    <w:name w:val="1文章"/>
    <w:basedOn w:val="1"/>
    <w:qFormat/>
    <w:uiPriority w:val="0"/>
    <w:pPr>
      <w:snapToGrid w:val="0"/>
      <w:spacing w:line="360" w:lineRule="auto"/>
      <w:ind w:firstLine="573"/>
    </w:pPr>
    <w:rPr>
      <w:rFonts w:eastAsia="仿宋_GB2312"/>
      <w:sz w:val="28"/>
    </w:rPr>
  </w:style>
  <w:style w:type="paragraph" w:customStyle="1" w:styleId="26">
    <w:name w:val="三级标题"/>
    <w:basedOn w:val="1"/>
    <w:qFormat/>
    <w:uiPriority w:val="0"/>
    <w:pPr>
      <w:spacing w:before="300" w:line="460" w:lineRule="exact"/>
      <w:outlineLvl w:val="2"/>
    </w:pPr>
    <w:rPr>
      <w:b/>
      <w:bCs/>
      <w:sz w:val="24"/>
    </w:rPr>
  </w:style>
  <w:style w:type="paragraph" w:customStyle="1" w:styleId="27">
    <w:name w:val="表文字"/>
    <w:basedOn w:val="1"/>
    <w:qFormat/>
    <w:uiPriority w:val="0"/>
    <w:pPr>
      <w:overflowPunct w:val="0"/>
      <w:autoSpaceDE w:val="0"/>
      <w:autoSpaceDN w:val="0"/>
      <w:adjustRightInd w:val="0"/>
      <w:spacing w:line="240" w:lineRule="atLeast"/>
      <w:textAlignment w:val="baseline"/>
    </w:pPr>
    <w:rPr>
      <w:sz w:val="24"/>
    </w:rPr>
  </w:style>
  <w:style w:type="paragraph" w:customStyle="1" w:styleId="28">
    <w:name w:val="样式 小四"/>
    <w:basedOn w:val="1"/>
    <w:qFormat/>
    <w:uiPriority w:val="0"/>
    <w:pPr>
      <w:spacing w:line="360" w:lineRule="auto"/>
      <w:ind w:firstLine="480" w:firstLineChars="200"/>
    </w:pPr>
    <w:rPr>
      <w:spacing w:val="8"/>
      <w:sz w:val="24"/>
      <w:szCs w:val="21"/>
    </w:rPr>
  </w:style>
  <w:style w:type="character" w:customStyle="1" w:styleId="29">
    <w:name w:val="文档结构图 字符"/>
    <w:basedOn w:val="15"/>
    <w:link w:val="8"/>
    <w:qFormat/>
    <w:uiPriority w:val="0"/>
    <w:rPr>
      <w:rFonts w:ascii="宋体" w:hAnsiTheme="minorHAnsi" w:cstheme="minorBidi"/>
      <w:kern w:val="2"/>
      <w:sz w:val="18"/>
      <w:szCs w:val="18"/>
    </w:rPr>
  </w:style>
  <w:style w:type="character" w:customStyle="1" w:styleId="30">
    <w:name w:val="批注框文本 字符"/>
    <w:basedOn w:val="15"/>
    <w:link w:val="10"/>
    <w:qFormat/>
    <w:uiPriority w:val="0"/>
    <w:rPr>
      <w:rFonts w:asciiTheme="minorHAnsi" w:hAnsiTheme="minorHAnsi" w:eastAsiaTheme="minorEastAsia" w:cstheme="minorBidi"/>
      <w:kern w:val="2"/>
      <w:sz w:val="18"/>
      <w:szCs w:val="18"/>
    </w:rPr>
  </w:style>
  <w:style w:type="character" w:customStyle="1" w:styleId="31">
    <w:name w:val="批注文字 字符"/>
    <w:basedOn w:val="15"/>
    <w:link w:val="4"/>
    <w:qFormat/>
    <w:uiPriority w:val="0"/>
    <w:rPr>
      <w:rFonts w:asciiTheme="minorHAnsi" w:hAnsiTheme="minorHAnsi" w:eastAsiaTheme="minorEastAsia" w:cstheme="minorBidi"/>
      <w:kern w:val="2"/>
      <w:sz w:val="21"/>
      <w:szCs w:val="22"/>
    </w:rPr>
  </w:style>
  <w:style w:type="character" w:customStyle="1" w:styleId="32">
    <w:name w:val="批注主题 字符"/>
    <w:basedOn w:val="31"/>
    <w:link w:val="3"/>
    <w:qFormat/>
    <w:uiPriority w:val="0"/>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44</Pages>
  <Words>4588</Words>
  <Characters>26153</Characters>
  <Lines>217</Lines>
  <Paragraphs>61</Paragraphs>
  <TotalTime>13</TotalTime>
  <ScaleCrop>false</ScaleCrop>
  <LinksUpToDate>false</LinksUpToDate>
  <CharactersWithSpaces>30680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2018-04-23T01:58:00Z</dcterms:created>
  <dc:creator>秋末青柠 ☜</dc:creator>
  <cp:lastModifiedBy>秋末青柠 ☜</cp:lastModifiedBy>
  <dcterms:modified xsi:type="dcterms:W3CDTF">2018-06-27T06:45:04Z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