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Ex>
        <w:trPr>
          <w:trHeight w:val="12477" w:hRule="atLeast"/>
        </w:trPr>
        <w:tc>
          <w:tcPr>
            <w:tcW w:w="9360" w:type="dxa"/>
          </w:tcPr>
          <w:p>
            <w:pPr>
              <w:widowControl/>
              <w:spacing w:line="520" w:lineRule="exact"/>
              <w:rPr>
                <w:rFonts w:ascii="Times New Roman" w:hAnsi="Times New Roman" w:eastAsia="仿宋_GB2312" w:cs="仿宋"/>
                <w:color w:val="FF0000"/>
                <w:sz w:val="28"/>
                <w:szCs w:val="28"/>
              </w:rPr>
            </w:pPr>
            <w:r>
              <w:rPr>
                <w:rFonts w:hint="eastAsia" w:ascii="Times New Roman" w:hAnsi="Times New Roman" w:eastAsia="仿宋_GB2312" w:cs="仿宋"/>
                <w:b/>
                <w:bCs/>
                <w:sz w:val="30"/>
                <w:szCs w:val="28"/>
              </w:rPr>
              <w:t>审批意见：</w:t>
            </w:r>
            <w:r>
              <w:rPr>
                <w:rFonts w:hint="eastAsia" w:ascii="Times New Roman" w:hAnsi="Times New Roman" w:eastAsia="仿宋_GB2312" w:cs="仿宋"/>
                <w:b/>
                <w:bCs/>
                <w:sz w:val="30"/>
                <w:szCs w:val="28"/>
                <w:lang w:val="en-US" w:eastAsia="zh-CN"/>
              </w:rPr>
              <w:t xml:space="preserve">                          </w:t>
            </w:r>
            <w:r>
              <w:rPr>
                <w:rFonts w:hint="eastAsia" w:ascii="Times New Roman" w:hAnsi="仿宋" w:eastAsia="仿宋_GB2312" w:cs="仿宋"/>
                <w:b/>
                <w:sz w:val="28"/>
                <w:szCs w:val="28"/>
              </w:rPr>
              <w:t>岳环君分环评批［</w:t>
            </w:r>
            <w:r>
              <w:rPr>
                <w:rFonts w:ascii="Times New Roman" w:hAnsi="Times New Roman" w:eastAsia="仿宋_GB2312" w:cs="仿宋"/>
                <w:b/>
                <w:sz w:val="28"/>
                <w:szCs w:val="28"/>
              </w:rPr>
              <w:t>201</w:t>
            </w:r>
            <w:r>
              <w:rPr>
                <w:rFonts w:hint="eastAsia" w:ascii="Times New Roman" w:hAnsi="Times New Roman" w:eastAsia="仿宋_GB2312" w:cs="仿宋"/>
                <w:b/>
                <w:sz w:val="28"/>
                <w:szCs w:val="28"/>
              </w:rPr>
              <w:t>8</w:t>
            </w:r>
            <w:r>
              <w:rPr>
                <w:rFonts w:hint="eastAsia" w:ascii="Times New Roman" w:hAnsi="仿宋" w:eastAsia="仿宋_GB2312" w:cs="仿宋"/>
                <w:b/>
                <w:sz w:val="28"/>
                <w:szCs w:val="28"/>
              </w:rPr>
              <w:t>］1</w:t>
            </w:r>
            <w:r>
              <w:rPr>
                <w:rFonts w:hint="eastAsia" w:ascii="Times New Roman" w:hAnsi="仿宋" w:eastAsia="仿宋_GB2312" w:cs="仿宋"/>
                <w:b/>
                <w:sz w:val="28"/>
                <w:szCs w:val="28"/>
                <w:lang w:val="en-US" w:eastAsia="zh-CN"/>
              </w:rPr>
              <w:t>5</w:t>
            </w:r>
            <w:r>
              <w:rPr>
                <w:rFonts w:hint="eastAsia" w:ascii="Times New Roman" w:hAnsi="仿宋" w:eastAsia="仿宋_GB2312" w:cs="仿宋"/>
                <w:b/>
                <w:sz w:val="28"/>
                <w:szCs w:val="28"/>
              </w:rPr>
              <w:t>号</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湖南劲阳电子有限公司拟租赁岳阳市君山工业集中区荆江门片区二期二栋标准化厂房，建设年产6亿只贴片压敏电阻及年产40万只浪涌保护器项目，项目占地面积约1100m2，总投资5000万元，其中环保投资50万元，该项目拟建设生产区、物料放置区、办公区及配套设施，共1栋 4 层， 1 楼为办公区域、物料放置区、模具车间、恒温精加工车间； 2、4 楼为贴片压敏生产车间，主要有编带成型、焊接、编带包装等各类生产线 10 条； 3 楼为浪涌保护器生产车间，主要有线材制作、插装焊接、测试、灌封、包装等各类生产线5条。根据江西景瑞祥环保科技有限公司编制的环境影响报告表基本内容、结论和专家审查意见，从环境保护角度考虑，同意本项目的建设。</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建设单位须逐项落实环评报告表提出的各项环保措施，严格执行环保“三同时”制度，配套建设污染防治设施，加强环境管理，确保外排污染物长期稳定达标排放。在工程设计、建设和管理中，应着重注意以下问题：</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切实做好施工期环境保护工作。尽量缩短施工期，合理安排设备安装的作业时间，施工作业应采取隔声降噪措施，禁止夜间（22时至次日6时）进行产生环境噪声污染的建筑施工作业。建设期各类建筑装修垃圾及生活垃圾不得露天堆放，建筑垃圾如废弃设备材料等，可售至废旧资源回收站；生活垃圾定点收集，由园区环卫部门统一收集处理。禁止将施工废渣排入周边渠道、农田等环境内。</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2、废水污染防治。本项目采用雨污分流制，营运期废水经预处理设施处理达到君山区第二污水处理厂接纳标准后由园区污水管网收集后进入君山区第二污水处理厂处理。</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3、废气污染防治。营运期产生的焊接废气和有机废气通过集气罩收集经风机引至UV光解空气净化器处理达到《大气污染物综合排放标准》(GB16297-1996)规定的排放浓度后通过不低于15m高排气筒排放。</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噪声污染防治。采用低噪声设备，采取减振、吸音、隔声等措施，施工期噪声执行《建筑施工场界环境噪声排放标准》（GB12523-2011），并确保营运期厂界噪声符合《工业企业厂界环境噪声排放标准》（GB12348-2008）3类标准要求，临交通干线达到4a类标准要求。</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固体废物污染防治。严格按照《危险废物贮存污染控制标准》(GB18597-2001)的要求，设置危险固废暂存室，废胶水桶、废包装材料、废助焊剂和废机油属于危废，交由有资质的单位处理；废边角料综合利用；生活垃圾经收集后交由环卫部门统一清运处理。</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6、风险防范。加强营运期风险防范和防止风险事故的发生，落实报告表提出的风险防范措施，严格按照《突发环境事件应急预案管理暂行办法》建立风险事故应急预案，确保周边环境安全。</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二、你单位应在收到本批复后15个工作日内，将批复及被批准的环评报告文本送至岳阳市君山区环境监察大队、江西景瑞祥环保科技有限公司。</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三、岳阳市君山区环境监察大队负责项目建设期和营运期的日常环境监管。</w:t>
            </w: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hint="eastAsia" w:ascii="仿宋_GB2312" w:eastAsia="仿宋_GB2312"/>
                <w:w w:val="90"/>
                <w:sz w:val="28"/>
                <w:lang w:eastAsia="zh-CN"/>
              </w:rPr>
            </w:pPr>
            <w:r>
              <w:rPr>
                <w:rFonts w:hint="eastAsia" w:ascii="仿宋_GB2312" w:eastAsia="仿宋_GB2312"/>
                <w:w w:val="90"/>
                <w:sz w:val="28"/>
              </w:rPr>
              <w:t>经办人：</w:t>
            </w:r>
            <w:r>
              <w:rPr>
                <w:rFonts w:hint="eastAsia" w:ascii="仿宋_GB2312" w:eastAsia="仿宋_GB2312"/>
                <w:w w:val="90"/>
                <w:sz w:val="28"/>
                <w:lang w:eastAsia="zh-CN"/>
              </w:rPr>
              <w:t>章鹏</w:t>
            </w:r>
          </w:p>
          <w:p>
            <w:pPr>
              <w:snapToGrid w:val="0"/>
              <w:rPr>
                <w:rFonts w:ascii="仿宋_GB2312" w:eastAsia="仿宋_GB2312"/>
                <w:w w:val="90"/>
                <w:sz w:val="28"/>
              </w:rPr>
            </w:pPr>
          </w:p>
          <w:p>
            <w:pPr>
              <w:snapToGrid w:val="0"/>
              <w:rPr>
                <w:rFonts w:ascii="仿宋_GB2312" w:eastAsia="仿宋_GB2312"/>
                <w:w w:val="90"/>
                <w:sz w:val="28"/>
              </w:rPr>
            </w:pPr>
          </w:p>
          <w:p>
            <w:pPr>
              <w:snapToGrid w:val="0"/>
              <w:rPr>
                <w:rFonts w:hint="eastAsia" w:ascii="仿宋_GB2312" w:hAnsi="Times New Roman" w:eastAsia="仿宋_GB2312"/>
                <w:sz w:val="28"/>
                <w:lang w:eastAsia="zh-CN"/>
              </w:rPr>
            </w:pPr>
            <w:r>
              <w:rPr>
                <w:rFonts w:hint="eastAsia" w:ascii="仿宋_GB2312" w:eastAsia="仿宋_GB2312"/>
                <w:w w:val="90"/>
                <w:sz w:val="28"/>
              </w:rPr>
              <w:t>审批人：</w:t>
            </w:r>
            <w:r>
              <w:rPr>
                <w:rFonts w:hint="eastAsia" w:ascii="仿宋_GB2312" w:eastAsia="仿宋_GB2312"/>
                <w:w w:val="90"/>
                <w:sz w:val="28"/>
                <w:lang w:eastAsia="zh-CN"/>
              </w:rPr>
              <w:t>龚卿</w:t>
            </w:r>
            <w:bookmarkStart w:id="0" w:name="_GoBack"/>
            <w:bookmarkEnd w:id="0"/>
          </w:p>
          <w:p>
            <w:pPr>
              <w:snapToGrid w:val="0"/>
              <w:rPr>
                <w:rFonts w:ascii="仿宋_GB2312" w:hAnsi="Times New Roman" w:eastAsia="仿宋_GB2312"/>
                <w:sz w:val="28"/>
              </w:rPr>
            </w:pPr>
          </w:p>
          <w:p>
            <w:pPr>
              <w:snapToGrid w:val="0"/>
              <w:ind w:firstLine="6720" w:firstLineChars="2400"/>
              <w:rPr>
                <w:rFonts w:ascii="仿宋_GB2312" w:hAnsi="Times New Roman" w:eastAsia="仿宋_GB2312"/>
                <w:sz w:val="28"/>
              </w:rPr>
            </w:pPr>
            <w:r>
              <w:rPr>
                <w:rFonts w:hint="eastAsia" w:ascii="仿宋_GB2312" w:eastAsia="仿宋_GB2312"/>
                <w:sz w:val="28"/>
              </w:rPr>
              <w:t>公章</w:t>
            </w:r>
          </w:p>
          <w:p>
            <w:pPr>
              <w:snapToGrid w:val="0"/>
              <w:ind w:firstLine="5880" w:firstLineChars="2100"/>
              <w:rPr>
                <w:rFonts w:ascii="仿宋_GB2312" w:eastAsia="仿宋_GB2312"/>
                <w:sz w:val="28"/>
              </w:rPr>
            </w:pPr>
            <w:r>
              <w:rPr>
                <w:rFonts w:hint="eastAsia" w:ascii="仿宋_GB2312" w:hAnsi="Times New Roman" w:eastAsia="仿宋_GB2312"/>
                <w:sz w:val="28"/>
              </w:rPr>
              <w:t>2018</w:t>
            </w:r>
            <w:r>
              <w:rPr>
                <w:rFonts w:hint="eastAsia" w:ascii="仿宋_GB2312" w:eastAsia="仿宋_GB2312"/>
                <w:sz w:val="28"/>
              </w:rPr>
              <w:t>年</w:t>
            </w:r>
            <w:r>
              <w:rPr>
                <w:rFonts w:hint="eastAsia" w:ascii="仿宋_GB2312" w:hAnsi="Times New Roman" w:eastAsia="仿宋_GB2312"/>
                <w:sz w:val="28"/>
              </w:rPr>
              <w:t>8</w:t>
            </w:r>
            <w:r>
              <w:rPr>
                <w:rFonts w:hint="eastAsia" w:ascii="仿宋_GB2312" w:eastAsia="仿宋_GB2312"/>
                <w:sz w:val="28"/>
              </w:rPr>
              <w:t>月31日</w:t>
            </w:r>
          </w:p>
          <w:p>
            <w:pPr>
              <w:snapToGrid w:val="0"/>
              <w:rPr>
                <w:rFonts w:ascii="仿宋_GB2312" w:eastAsia="仿宋_GB2312"/>
                <w:sz w:val="28"/>
              </w:rPr>
            </w:pPr>
          </w:p>
        </w:tc>
      </w:tr>
    </w:tbl>
    <w:p>
      <w:pPr>
        <w:spacing w:line="480" w:lineRule="exact"/>
        <w:rPr>
          <w:rFonts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8"/>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703020204020201"/>
    <w:charset w:val="86"/>
    <w:family w:val="auto"/>
    <w:pitch w:val="default"/>
    <w:sig w:usb0="80000287" w:usb1="2A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A06C6A"/>
    <w:rsid w:val="00047076"/>
    <w:rsid w:val="000C2FB4"/>
    <w:rsid w:val="0012026D"/>
    <w:rsid w:val="001B7C59"/>
    <w:rsid w:val="002A2489"/>
    <w:rsid w:val="00426DA4"/>
    <w:rsid w:val="005A017E"/>
    <w:rsid w:val="00610954"/>
    <w:rsid w:val="00634410"/>
    <w:rsid w:val="006764B2"/>
    <w:rsid w:val="006A7ABC"/>
    <w:rsid w:val="00731142"/>
    <w:rsid w:val="009527AD"/>
    <w:rsid w:val="009C0BDF"/>
    <w:rsid w:val="00A06C6A"/>
    <w:rsid w:val="00A80E69"/>
    <w:rsid w:val="00B57838"/>
    <w:rsid w:val="00CD06EA"/>
    <w:rsid w:val="00CF398B"/>
    <w:rsid w:val="00D444AC"/>
    <w:rsid w:val="00E3182B"/>
    <w:rsid w:val="00EE55F9"/>
    <w:rsid w:val="00F5106F"/>
    <w:rsid w:val="00F837C9"/>
    <w:rsid w:val="06CD030B"/>
    <w:rsid w:val="08197F1E"/>
    <w:rsid w:val="09B61525"/>
    <w:rsid w:val="09BA7346"/>
    <w:rsid w:val="0CC05552"/>
    <w:rsid w:val="0F785FFA"/>
    <w:rsid w:val="10C80F9C"/>
    <w:rsid w:val="1A9501CB"/>
    <w:rsid w:val="1AFB290C"/>
    <w:rsid w:val="1B5E6C81"/>
    <w:rsid w:val="1E265FEE"/>
    <w:rsid w:val="20715C02"/>
    <w:rsid w:val="20884185"/>
    <w:rsid w:val="223E6D13"/>
    <w:rsid w:val="224B3D9F"/>
    <w:rsid w:val="23613310"/>
    <w:rsid w:val="26421409"/>
    <w:rsid w:val="26CA569C"/>
    <w:rsid w:val="38386F3F"/>
    <w:rsid w:val="3A7B06D5"/>
    <w:rsid w:val="3D1C0038"/>
    <w:rsid w:val="3DE63CF7"/>
    <w:rsid w:val="3E1210F4"/>
    <w:rsid w:val="40A06FA9"/>
    <w:rsid w:val="41FD68FE"/>
    <w:rsid w:val="45BB05A9"/>
    <w:rsid w:val="462D6297"/>
    <w:rsid w:val="48BB79FE"/>
    <w:rsid w:val="4AA57F8A"/>
    <w:rsid w:val="4F8C03E6"/>
    <w:rsid w:val="50A91980"/>
    <w:rsid w:val="516C13F1"/>
    <w:rsid w:val="583017FF"/>
    <w:rsid w:val="5C14264A"/>
    <w:rsid w:val="5EE308E7"/>
    <w:rsid w:val="61980384"/>
    <w:rsid w:val="694A38A1"/>
    <w:rsid w:val="6F4018E2"/>
    <w:rsid w:val="706D74A6"/>
    <w:rsid w:val="70A37142"/>
    <w:rsid w:val="71007ECC"/>
    <w:rsid w:val="7287626D"/>
    <w:rsid w:val="76947924"/>
    <w:rsid w:val="76C560FE"/>
    <w:rsid w:val="7CE31B5D"/>
    <w:rsid w:val="7DEC61B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unhideWhenUsed/>
    <w:qFormat/>
    <w:locked/>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3"/>
    <w:next w:val="1"/>
    <w:unhideWhenUsed/>
    <w:qFormat/>
    <w:locked/>
    <w:uiPriority w:val="0"/>
    <w:pPr>
      <w:outlineLvl w:val="2"/>
    </w:pPr>
    <w:rPr>
      <w:b w:val="0"/>
      <w:bCs w:val="0"/>
    </w:rPr>
  </w:style>
  <w:style w:type="character" w:default="1" w:styleId="8">
    <w:name w:val="Default Paragraph Font"/>
    <w:semiHidden/>
    <w:unhideWhenUsed/>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4">
    <w:name w:val="Body Text Indent"/>
    <w:basedOn w:val="1"/>
    <w:qFormat/>
    <w:uiPriority w:val="0"/>
    <w:pPr>
      <w:ind w:firstLine="480"/>
      <w:jc w:val="left"/>
    </w:pPr>
    <w:rPr>
      <w:rFonts w:ascii="楷体_GB2312" w:eastAsia="楷体_GB2312"/>
      <w:sz w:val="24"/>
    </w:rPr>
  </w:style>
  <w:style w:type="paragraph" w:styleId="5">
    <w:name w:val="footer"/>
    <w:basedOn w:val="1"/>
    <w:link w:val="13"/>
    <w:semiHidden/>
    <w:unhideWhenUsed/>
    <w:qFormat/>
    <w:uiPriority w:val="99"/>
    <w:pPr>
      <w:tabs>
        <w:tab w:val="center" w:pos="4153"/>
        <w:tab w:val="right" w:pos="8306"/>
      </w:tabs>
      <w:snapToGrid w:val="0"/>
      <w:jc w:val="left"/>
    </w:pPr>
    <w:rPr>
      <w:sz w:val="18"/>
      <w:szCs w:val="18"/>
    </w:rPr>
  </w:style>
  <w:style w:type="paragraph" w:styleId="6">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100" w:beforeAutospacing="1" w:after="100" w:afterAutospacing="1"/>
      <w:jc w:val="left"/>
    </w:pPr>
    <w:rPr>
      <w:kern w:val="0"/>
      <w:sz w:val="24"/>
    </w:rPr>
  </w:style>
  <w:style w:type="paragraph" w:customStyle="1" w:styleId="10">
    <w:name w:val="WPS Plain"/>
    <w:qFormat/>
    <w:uiPriority w:val="99"/>
    <w:rPr>
      <w:rFonts w:ascii="Calibri" w:hAnsi="Calibri" w:eastAsia="宋体" w:cs="Times New Roman"/>
      <w:sz w:val="21"/>
      <w:szCs w:val="22"/>
      <w:lang w:val="en-US" w:eastAsia="zh-CN" w:bidi="ar-SA"/>
    </w:rPr>
  </w:style>
  <w:style w:type="paragraph" w:customStyle="1" w:styleId="11">
    <w:name w:val="0"/>
    <w:basedOn w:val="1"/>
    <w:qFormat/>
    <w:uiPriority w:val="99"/>
    <w:pPr>
      <w:widowControl/>
      <w:snapToGrid w:val="0"/>
      <w:spacing w:line="365" w:lineRule="atLeast"/>
      <w:ind w:left="1"/>
      <w:textAlignment w:val="bottom"/>
    </w:pPr>
  </w:style>
  <w:style w:type="character" w:customStyle="1" w:styleId="12">
    <w:name w:val="页眉 Char"/>
    <w:basedOn w:val="8"/>
    <w:link w:val="6"/>
    <w:semiHidden/>
    <w:qFormat/>
    <w:uiPriority w:val="99"/>
    <w:rPr>
      <w:rFonts w:ascii="Calibri" w:hAnsi="Calibri"/>
      <w:kern w:val="2"/>
      <w:sz w:val="18"/>
      <w:szCs w:val="18"/>
    </w:rPr>
  </w:style>
  <w:style w:type="character" w:customStyle="1" w:styleId="13">
    <w:name w:val="页脚 Char"/>
    <w:basedOn w:val="8"/>
    <w:link w:val="5"/>
    <w:semiHidden/>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165</Words>
  <Characters>946</Characters>
  <Lines>7</Lines>
  <Paragraphs>2</Paragraphs>
  <TotalTime>6</TotalTime>
  <ScaleCrop>false</ScaleCrop>
  <LinksUpToDate>false</LinksUpToDate>
  <CharactersWithSpaces>1109</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2018-09-10T06:56:00Z</dcterms:created>
  <dc:creator>hp</dc:creator>
  <cp:lastModifiedBy>Administrator</cp:lastModifiedBy>
  <cp:lastPrinted>2018-09-11T04:52:26Z</cp:lastPrinted>
  <dcterms:modified xsi:type="dcterms:W3CDTF">2018-09-11T04:56:24Z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