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12477" w:hRule="atLeast"/>
        </w:trPr>
        <w:tc>
          <w:tcPr>
            <w:tcW w:w="9360" w:type="dxa"/>
          </w:tcPr>
          <w:p>
            <w:pPr>
              <w:widowControl/>
              <w:spacing w:line="520" w:lineRule="exact"/>
              <w:rPr>
                <w:rFonts w:ascii="Times New Roman" w:hAnsi="Times New Roman" w:eastAsia="仿宋_GB2312" w:cs="仿宋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eastAsia="仿宋_GB2312" w:cs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"/>
                <w:b/>
                <w:bCs/>
                <w:sz w:val="30"/>
                <w:szCs w:val="28"/>
              </w:rPr>
              <w:t>审批意见：</w:t>
            </w:r>
            <w:r>
              <w:rPr>
                <w:rFonts w:ascii="Times New Roman" w:hAnsi="Times New Roman" w:eastAsia="仿宋_GB2312" w:cs="仿宋"/>
                <w:sz w:val="30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仿宋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</w:rPr>
              <w:t>岳环君分环评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  <w:lang w:eastAsia="zh-CN"/>
              </w:rPr>
              <w:t>批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</w:rPr>
              <w:t>［</w:t>
            </w:r>
            <w:r>
              <w:rPr>
                <w:rFonts w:ascii="Times New Roman" w:hAnsi="Times New Roman" w:eastAsia="仿宋_GB2312" w:cs="仿宋"/>
                <w:b/>
                <w:sz w:val="28"/>
                <w:szCs w:val="28"/>
              </w:rPr>
              <w:t>201</w:t>
            </w:r>
            <w:r>
              <w:rPr>
                <w:rFonts w:hint="eastAsia" w:ascii="Times New Roman" w:hAnsi="Times New Roman" w:eastAsia="仿宋_GB2312" w:cs="仿宋"/>
                <w:b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</w:rPr>
              <w:t>］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</w:rPr>
              <w:t>号</w:t>
            </w:r>
          </w:p>
          <w:p>
            <w:pPr>
              <w:snapToGrid w:val="0"/>
              <w:ind w:firstLine="560" w:firstLineChars="200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岳阳市君山区民政局拟在君山区钱粮湖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镇牛奶湖村建设君山区殡仪馆建设项目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，项目占地面积约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33350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㎡，总建筑面积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约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10858㎡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绿化面积约</w:t>
            </w:r>
            <w:r>
              <w:rPr>
                <w:rFonts w:hint="default" w:ascii="仿宋_GB2312" w:hAnsi="仿宋_GB2312" w:eastAsia="仿宋_GB2312" w:cs="仿宋_GB2312"/>
                <w:sz w:val="28"/>
                <w:lang w:val="en-US" w:eastAsia="zh-CN"/>
              </w:rPr>
              <w:t>11870.285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平方米，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总投资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8000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万元，其中环保投资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494.5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万元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项目拟建设综合楼、悼念厅、火化间、骨灰堂、辅助用房、临时悼念厅、污水处理间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配有平板火化机1台，炼灰火化机1台，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遗物焚烧炉1台，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太平柜1台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和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水晶2台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，最高年殡殓业务量1000具。根据广西新北环环保科技有限公司编制的环境影响报告表基本内容、结论和专家审查意见，从环境保护角度考虑，同意本项目的建设。</w:t>
            </w:r>
          </w:p>
          <w:p>
            <w:pPr>
              <w:snapToGrid w:val="0"/>
              <w:ind w:firstLine="560" w:firstLineChars="200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一、建设单位须逐项落实环评报告表提出的各项环保措施，严格执行环保“三同时”制度，配套建设污染防治设施，加强环境管理，确保外排污染物长期稳定达标排放。在工程设计、建设和管理中，应着重注意以下问题：</w:t>
            </w:r>
          </w:p>
          <w:p>
            <w:pPr>
              <w:snapToGrid w:val="0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1、坚持环境保护“三同时”制度，确保环保经费投入，认真落实专家及环评报告表中提出的各项污染防治、风险防范措施。</w:t>
            </w:r>
          </w:p>
          <w:p>
            <w:pPr>
              <w:snapToGrid w:val="0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2、废水污染防治。本项目采用雨污分流制，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施工期废水经沉淀池处理后回用，不外排。营运期中产生的生活污水经隔油池+化粪池预处理与遗体清洗废水一并进入一体化“A/O”工艺处理后达到《污水综合排放标准》（GB8978-1996）一级标准后排入东侧沟渠用于农灌。</w:t>
            </w:r>
          </w:p>
          <w:p>
            <w:pPr>
              <w:snapToGrid w:val="0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3、废气污染防治。严禁大风大雨等恶劣天气施工，定期洒水抑尘；合理运输路线，运输车辆加盖或加蓬；施工区域和物料堆场设置1.8m以上围挡，严禁物料露天堆放。火化机废气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二次燃烧后和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遗物祭品焚烧废气经急冷＋布袋除尘＋活性炭吸附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工艺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处理后达到《火葬场大气污染物排放标准》（GB13801-2015）表2中新建单位遗体火化大气污染物排放限值，由15m高排气筒排放。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食堂油烟经油烟净化器处理达到《饮食业油烟排放标准》的标准限值要求后通过排烟管道引至楼顶高空排放，项目备用发电机燃油废气经内置排烟管道引至楼顶高空排放。</w:t>
            </w:r>
          </w:p>
          <w:p>
            <w:pPr>
              <w:snapToGrid w:val="0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4、噪声污染防治。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采用低噪声设备，禁止夜间（22：00～次日6：00）施工，减少噪声扰民，施工噪声满足《建筑施工场界环境噪声排放标准》（GB12523-2011）相关要求。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采取减振、吸音、隔声等措施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，鞭炮要求在规定的燃放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处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燃放，严禁在夜间奏乐和燃放鞭炮，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确保厂界噪声可达到《工业企业厂界环境噪声排放标准》（GB12348-2008）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类标准。</w:t>
            </w:r>
          </w:p>
          <w:p>
            <w:pPr>
              <w:snapToGrid w:val="0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5、固体废物污染防治。严格按照《危险废物贮存污染控制标准》(GB18597-2001)的要求，设置危险固废暂存室，除尘设备收集的废渣、废活性炭、备用柴油发电机机油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储油罐、剩余污泥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以及焚烧炉灰渣等属于国家危险废物，交由有资质单位回收处理，生活垃圾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经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收集后交由环卫部门统一清运处理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定期对危险固废暂存室和垃圾收集点进行消毒杀虫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。</w:t>
            </w:r>
          </w:p>
          <w:p>
            <w:pPr>
              <w:snapToGrid w:val="0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6、环境和安全管理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加强管理，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做好每日的巡检工作和记录。做好各项环境风险防范措施的，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降低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项目的环境风险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做好各项应急预案，在项目营运前落实项目防护距离内的居民拆迁。</w:t>
            </w:r>
          </w:p>
          <w:p>
            <w:pPr>
              <w:snapToGrid w:val="0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7、生态环境保护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。正确处理好绿化带，人行道和管线用地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做好项目区域及周边环境绿化工作，不栽种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产生花粉的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树木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。</w:t>
            </w:r>
          </w:p>
          <w:p>
            <w:pPr>
              <w:snapToGrid w:val="0"/>
              <w:ind w:firstLine="560" w:firstLineChars="200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二、你单位应在收到本批复后</w:t>
            </w:r>
            <w:r>
              <w:rPr>
                <w:rFonts w:ascii="仿宋_GB2312" w:hAnsi="仿宋_GB2312" w:eastAsia="仿宋_GB2312" w:cs="仿宋_GB2312"/>
                <w:sz w:val="28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个工作日内，将批复及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被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批准的环评报告文本送至岳阳市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君山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区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环境监察大队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、广西新北环环保科技有限公司。</w:t>
            </w:r>
            <w:r>
              <w:rPr>
                <w:rFonts w:ascii="仿宋_GB2312" w:hAnsi="仿宋_GB2312" w:eastAsia="仿宋_GB2312" w:cs="仿宋_GB2312"/>
                <w:sz w:val="28"/>
              </w:rPr>
              <w:t xml:space="preserve"> </w:t>
            </w:r>
          </w:p>
          <w:p>
            <w:pPr>
              <w:snapToGrid w:val="0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三、岳阳市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君山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区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环境监察大队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负责项目建设期和营运期的日常环境监管。</w:t>
            </w:r>
          </w:p>
          <w:p>
            <w:pPr>
              <w:snapToGrid w:val="0"/>
              <w:rPr>
                <w:rFonts w:ascii="仿宋_GB2312" w:hAnsi="Times New Roman" w:eastAsia="仿宋_GB2312"/>
                <w:sz w:val="28"/>
              </w:rPr>
            </w:pPr>
          </w:p>
          <w:p>
            <w:pPr>
              <w:snapToGrid w:val="0"/>
              <w:rPr>
                <w:rFonts w:ascii="仿宋_GB2312" w:hAnsi="Times New Roman" w:eastAsia="仿宋_GB2312"/>
                <w:sz w:val="28"/>
              </w:rPr>
            </w:pPr>
          </w:p>
          <w:p>
            <w:pPr>
              <w:snapToGrid w:val="0"/>
              <w:rPr>
                <w:rFonts w:ascii="仿宋_GB2312" w:hAnsi="Times New Roman" w:eastAsia="仿宋_GB2312"/>
                <w:sz w:val="28"/>
              </w:rPr>
            </w:pPr>
          </w:p>
          <w:p>
            <w:pPr>
              <w:snapToGrid w:val="0"/>
              <w:rPr>
                <w:rFonts w:ascii="仿宋_GB2312" w:hAnsi="Times New Roman" w:eastAsia="仿宋_GB2312"/>
                <w:sz w:val="28"/>
              </w:rPr>
            </w:pPr>
          </w:p>
          <w:p>
            <w:pPr>
              <w:snapToGrid w:val="0"/>
              <w:rPr>
                <w:rFonts w:hint="eastAsia" w:ascii="仿宋_GB2312" w:eastAsia="仿宋_GB2312"/>
                <w:w w:val="9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w w:val="90"/>
                <w:sz w:val="28"/>
              </w:rPr>
              <w:t>经办人：</w:t>
            </w:r>
            <w:r>
              <w:rPr>
                <w:rFonts w:hint="eastAsia" w:ascii="仿宋_GB2312" w:eastAsia="仿宋_GB2312"/>
                <w:w w:val="90"/>
                <w:sz w:val="28"/>
                <w:lang w:eastAsia="zh-CN"/>
              </w:rPr>
              <w:t>章鹏</w:t>
            </w:r>
          </w:p>
          <w:p>
            <w:pPr>
              <w:snapToGrid w:val="0"/>
              <w:rPr>
                <w:rFonts w:hint="eastAsia" w:ascii="仿宋_GB2312" w:eastAsia="仿宋_GB2312"/>
                <w:w w:val="90"/>
                <w:sz w:val="28"/>
              </w:rPr>
            </w:pPr>
          </w:p>
          <w:p>
            <w:pPr>
              <w:snapToGrid w:val="0"/>
              <w:rPr>
                <w:rFonts w:hint="eastAsia" w:ascii="仿宋_GB2312" w:eastAsia="仿宋_GB2312"/>
                <w:w w:val="90"/>
                <w:sz w:val="28"/>
              </w:rPr>
            </w:pPr>
          </w:p>
          <w:p>
            <w:pPr>
              <w:snapToGrid w:val="0"/>
              <w:rPr>
                <w:rFonts w:hint="eastAsia" w:ascii="仿宋_GB2312" w:hAnsi="Times New Roman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w w:val="90"/>
                <w:sz w:val="28"/>
              </w:rPr>
              <w:t>审批人：</w:t>
            </w:r>
            <w:r>
              <w:rPr>
                <w:rFonts w:hint="eastAsia" w:ascii="仿宋_GB2312" w:eastAsia="仿宋_GB2312"/>
                <w:w w:val="90"/>
                <w:sz w:val="28"/>
                <w:lang w:eastAsia="zh-CN"/>
              </w:rPr>
              <w:t>龚卿</w:t>
            </w:r>
            <w:r>
              <w:rPr>
                <w:rFonts w:ascii="仿宋_GB2312" w:hAnsi="Times New Roman" w:eastAsia="仿宋_GB2312"/>
                <w:sz w:val="28"/>
              </w:rPr>
              <w:t xml:space="preserve">                                </w:t>
            </w:r>
            <w:r>
              <w:rPr>
                <w:rFonts w:hint="eastAsia" w:ascii="仿宋_GB2312" w:hAnsi="Times New Roman" w:eastAsia="仿宋_GB2312"/>
                <w:sz w:val="28"/>
                <w:lang w:val="en-US" w:eastAsia="zh-CN"/>
              </w:rPr>
              <w:t xml:space="preserve"> </w:t>
            </w:r>
          </w:p>
          <w:p>
            <w:pPr>
              <w:snapToGrid w:val="0"/>
              <w:rPr>
                <w:rFonts w:hint="eastAsia" w:ascii="仿宋_GB2312" w:hAnsi="Times New Roman" w:eastAsia="仿宋_GB2312"/>
                <w:sz w:val="28"/>
                <w:lang w:val="en-US" w:eastAsia="zh-CN"/>
              </w:rPr>
            </w:pPr>
          </w:p>
          <w:p>
            <w:pPr>
              <w:snapToGrid w:val="0"/>
              <w:ind w:firstLine="5600" w:firstLineChars="2000"/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ascii="仿宋_GB2312" w:hAnsi="Times New Roman" w:eastAsia="仿宋_GB2312"/>
                <w:sz w:val="28"/>
                <w:lang w:val="en-US" w:eastAsia="zh-CN"/>
              </w:rPr>
              <w:t xml:space="preserve">      </w:t>
            </w:r>
            <w:r>
              <w:rPr>
                <w:rFonts w:ascii="仿宋_GB2312" w:hAnsi="Times New Roman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公</w:t>
            </w:r>
            <w:r>
              <w:rPr>
                <w:rFonts w:ascii="仿宋_GB2312" w:hAnsi="Times New Roman" w:eastAsia="仿宋_GB2312"/>
                <w:sz w:val="28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</w:rPr>
              <w:t>章</w:t>
            </w:r>
          </w:p>
          <w:p>
            <w:pPr>
              <w:snapToGrid w:val="0"/>
              <w:rPr>
                <w:rFonts w:ascii="仿宋_GB2312" w:eastAsia="仿宋_GB2312"/>
                <w:sz w:val="28"/>
              </w:rPr>
            </w:pPr>
            <w:r>
              <w:rPr>
                <w:rFonts w:ascii="仿宋_GB2312" w:hAnsi="Times New Roman" w:eastAsia="仿宋_GB2312"/>
                <w:sz w:val="28"/>
              </w:rPr>
              <w:t xml:space="preserve">                                            </w:t>
            </w:r>
            <w:r>
              <w:rPr>
                <w:rFonts w:hint="eastAsia" w:ascii="仿宋_GB2312" w:hAnsi="Times New Roman" w:eastAsia="仿宋_GB2312"/>
                <w:sz w:val="28"/>
                <w:lang w:val="en-US" w:eastAsia="zh-CN"/>
              </w:rPr>
              <w:t>2018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hAnsi="Times New Roman" w:eastAsia="仿宋_GB2312"/>
                <w:sz w:val="28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31</w:t>
            </w:r>
            <w:r>
              <w:rPr>
                <w:rFonts w:hint="eastAsia" w:ascii="仿宋_GB2312" w:eastAsia="仿宋_GB2312"/>
                <w:sz w:val="28"/>
              </w:rPr>
              <w:t>日</w:t>
            </w:r>
          </w:p>
          <w:p>
            <w:pPr>
              <w:snapToGrid w:val="0"/>
              <w:rPr>
                <w:rFonts w:ascii="仿宋_GB2312" w:eastAsia="仿宋_GB2312"/>
                <w:sz w:val="28"/>
              </w:rPr>
            </w:pPr>
          </w:p>
        </w:tc>
      </w:tr>
    </w:tbl>
    <w:p>
      <w:pPr>
        <w:spacing w:line="480" w:lineRule="exact"/>
        <w:rPr>
          <w:rFonts w:eastAsia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8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roma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C6A"/>
    <w:rsid w:val="0012026D"/>
    <w:rsid w:val="002A2489"/>
    <w:rsid w:val="005A017E"/>
    <w:rsid w:val="00610954"/>
    <w:rsid w:val="00A06C6A"/>
    <w:rsid w:val="00A80E69"/>
    <w:rsid w:val="00EE55F9"/>
    <w:rsid w:val="00F5106F"/>
    <w:rsid w:val="06CD030B"/>
    <w:rsid w:val="08197F1E"/>
    <w:rsid w:val="09B61525"/>
    <w:rsid w:val="09BA7346"/>
    <w:rsid w:val="0CC05552"/>
    <w:rsid w:val="0F785FFA"/>
    <w:rsid w:val="10C80F9C"/>
    <w:rsid w:val="1A9501CB"/>
    <w:rsid w:val="1AFB290C"/>
    <w:rsid w:val="1E265FEE"/>
    <w:rsid w:val="20715C02"/>
    <w:rsid w:val="20884185"/>
    <w:rsid w:val="223E6D13"/>
    <w:rsid w:val="224B3D9F"/>
    <w:rsid w:val="23613310"/>
    <w:rsid w:val="24010BDF"/>
    <w:rsid w:val="24376D76"/>
    <w:rsid w:val="26421409"/>
    <w:rsid w:val="38386F3F"/>
    <w:rsid w:val="3A7B06D5"/>
    <w:rsid w:val="3DE63CF7"/>
    <w:rsid w:val="3E1210F4"/>
    <w:rsid w:val="3F883F4E"/>
    <w:rsid w:val="40A06FA9"/>
    <w:rsid w:val="41FD68FE"/>
    <w:rsid w:val="45BB05A9"/>
    <w:rsid w:val="462D6297"/>
    <w:rsid w:val="4AA57F8A"/>
    <w:rsid w:val="4F8C03E6"/>
    <w:rsid w:val="50A91980"/>
    <w:rsid w:val="516C13F1"/>
    <w:rsid w:val="583017FF"/>
    <w:rsid w:val="5C14264A"/>
    <w:rsid w:val="5EE308E7"/>
    <w:rsid w:val="61980384"/>
    <w:rsid w:val="694A38A1"/>
    <w:rsid w:val="6D0F1CE4"/>
    <w:rsid w:val="6F4018E2"/>
    <w:rsid w:val="706D74A6"/>
    <w:rsid w:val="70A37142"/>
    <w:rsid w:val="71007ECC"/>
    <w:rsid w:val="71D751E7"/>
    <w:rsid w:val="76947924"/>
    <w:rsid w:val="76C560FE"/>
    <w:rsid w:val="7CE31B5D"/>
    <w:rsid w:val="7DEC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locked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2">
    <w:name w:val="heading 3"/>
    <w:basedOn w:val="3"/>
    <w:next w:val="1"/>
    <w:unhideWhenUsed/>
    <w:qFormat/>
    <w:locked/>
    <w:uiPriority w:val="0"/>
    <w:pPr>
      <w:keepNext/>
      <w:keepLines/>
      <w:spacing w:before="260" w:beforeLines="0" w:after="260" w:afterLines="0" w:line="416" w:lineRule="auto"/>
      <w:outlineLvl w:val="2"/>
    </w:pPr>
    <w:rPr>
      <w:b w:val="0"/>
      <w:bCs w:val="0"/>
      <w:sz w:val="32"/>
      <w:szCs w:val="32"/>
    </w:rPr>
  </w:style>
  <w:style w:type="character" w:default="1" w:styleId="6">
    <w:name w:val="Default Paragraph Font"/>
    <w:semiHidden/>
    <w:qFormat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ind w:firstLine="480"/>
      <w:jc w:val="left"/>
    </w:pPr>
    <w:rPr>
      <w:rFonts w:ascii="楷体_GB2312" w:eastAsia="楷体_GB2312"/>
      <w:sz w:val="24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8">
    <w:name w:val="WPS Plain"/>
    <w:qFormat/>
    <w:uiPriority w:val="99"/>
    <w:rPr>
      <w:rFonts w:ascii="Calibri" w:hAnsi="Calibri" w:eastAsia="宋体" w:cs="Times New Roman"/>
      <w:kern w:val="0"/>
      <w:sz w:val="21"/>
      <w:szCs w:val="22"/>
      <w:lang w:val="en-US" w:eastAsia="zh-CN" w:bidi="ar-SA"/>
    </w:rPr>
  </w:style>
  <w:style w:type="paragraph" w:customStyle="1" w:styleId="9">
    <w:name w:val="0"/>
    <w:basedOn w:val="1"/>
    <w:qFormat/>
    <w:uiPriority w:val="99"/>
    <w:pPr>
      <w:widowControl/>
      <w:snapToGrid w:val="0"/>
      <w:spacing w:line="365" w:lineRule="atLeast"/>
      <w:ind w:left="1"/>
      <w:textAlignment w:val="bottom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235</Words>
  <Characters>1345</Characters>
  <Lines>0</Lines>
  <Paragraphs>0</Paragraphs>
  <TotalTime>13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Administrator</cp:lastModifiedBy>
  <cp:lastPrinted>2018-09-10T07:49:58Z</cp:lastPrinted>
  <dcterms:modified xsi:type="dcterms:W3CDTF">2018-09-10T09:25:55Z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