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Ex>
        <w:trPr>
          <w:trHeight w:val="12477" w:hRule="atLeast"/>
        </w:trPr>
        <w:tc>
          <w:tcPr>
            <w:tcW w:w="9360" w:type="dxa"/>
          </w:tcPr>
          <w:p>
            <w:pPr>
              <w:widowControl/>
              <w:spacing w:line="520" w:lineRule="exact"/>
              <w:rPr>
                <w:rFonts w:ascii="Times New Roman" w:hAnsi="Times New Roman" w:eastAsia="仿宋_GB2312" w:cs="仿宋"/>
                <w:color w:val="FF0000"/>
                <w:sz w:val="28"/>
                <w:szCs w:val="28"/>
              </w:rPr>
            </w:pPr>
            <w:r>
              <w:rPr>
                <w:rFonts w:ascii="Times New Roman" w:hAnsi="Times New Roman" w:eastAsia="仿宋_GB2312" w:cs="仿宋"/>
                <w:b/>
                <w:bCs/>
                <w:sz w:val="28"/>
                <w:szCs w:val="28"/>
              </w:rPr>
              <w:t xml:space="preserve"> </w:t>
            </w:r>
            <w:r>
              <w:rPr>
                <w:rFonts w:hint="eastAsia" w:ascii="Times New Roman" w:hAnsi="Times New Roman" w:eastAsia="仿宋_GB2312" w:cs="仿宋"/>
                <w:b/>
                <w:bCs/>
                <w:sz w:val="30"/>
                <w:szCs w:val="28"/>
              </w:rPr>
              <w:t>审批意见：</w:t>
            </w:r>
            <w:r>
              <w:rPr>
                <w:rFonts w:ascii="Times New Roman" w:hAnsi="Times New Roman" w:eastAsia="仿宋_GB2312" w:cs="仿宋"/>
                <w:sz w:val="30"/>
                <w:szCs w:val="28"/>
              </w:rPr>
              <w:t xml:space="preserve"> </w:t>
            </w:r>
            <w:r>
              <w:rPr>
                <w:rFonts w:ascii="Times New Roman" w:hAnsi="Times New Roman" w:eastAsia="仿宋_GB2312" w:cs="仿宋"/>
                <w:sz w:val="28"/>
                <w:szCs w:val="28"/>
              </w:rPr>
              <w:t xml:space="preserve">                          </w:t>
            </w:r>
            <w:r>
              <w:rPr>
                <w:rFonts w:hint="eastAsia" w:ascii="Times New Roman" w:hAnsi="仿宋" w:eastAsia="仿宋_GB2312" w:cs="仿宋"/>
                <w:b/>
                <w:sz w:val="28"/>
                <w:szCs w:val="28"/>
              </w:rPr>
              <w:t>岳环君分环评</w:t>
            </w:r>
            <w:r>
              <w:rPr>
                <w:rFonts w:hint="eastAsia" w:ascii="Times New Roman" w:hAnsi="仿宋" w:eastAsia="仿宋_GB2312" w:cs="仿宋"/>
                <w:b/>
                <w:sz w:val="28"/>
                <w:szCs w:val="28"/>
                <w:lang w:eastAsia="zh-CN"/>
              </w:rPr>
              <w:t>批</w:t>
            </w:r>
            <w:r>
              <w:rPr>
                <w:rFonts w:hint="eastAsia" w:ascii="Times New Roman" w:hAnsi="仿宋" w:eastAsia="仿宋_GB2312" w:cs="仿宋"/>
                <w:b/>
                <w:sz w:val="28"/>
                <w:szCs w:val="28"/>
              </w:rPr>
              <w:t>［</w:t>
            </w:r>
            <w:r>
              <w:rPr>
                <w:rFonts w:ascii="Times New Roman" w:hAnsi="Times New Roman" w:eastAsia="仿宋_GB2312" w:cs="仿宋"/>
                <w:b/>
                <w:sz w:val="28"/>
                <w:szCs w:val="28"/>
              </w:rPr>
              <w:t>201</w:t>
            </w:r>
            <w:r>
              <w:rPr>
                <w:rFonts w:hint="eastAsia" w:ascii="Times New Roman" w:hAnsi="Times New Roman" w:eastAsia="仿宋_GB2312" w:cs="仿宋"/>
                <w:b/>
                <w:sz w:val="28"/>
                <w:szCs w:val="28"/>
                <w:lang w:val="en-US" w:eastAsia="zh-CN"/>
              </w:rPr>
              <w:t>8</w:t>
            </w:r>
            <w:r>
              <w:rPr>
                <w:rFonts w:hint="eastAsia" w:ascii="Times New Roman" w:hAnsi="仿宋" w:eastAsia="仿宋_GB2312" w:cs="仿宋"/>
                <w:b/>
                <w:sz w:val="28"/>
                <w:szCs w:val="28"/>
              </w:rPr>
              <w:t>］</w:t>
            </w:r>
            <w:r>
              <w:rPr>
                <w:rFonts w:hint="eastAsia" w:ascii="Times New Roman" w:hAnsi="仿宋" w:eastAsia="仿宋_GB2312" w:cs="仿宋"/>
                <w:b/>
                <w:sz w:val="28"/>
                <w:szCs w:val="28"/>
                <w:lang w:val="en-US" w:eastAsia="zh-CN"/>
              </w:rPr>
              <w:t>19</w:t>
            </w:r>
            <w:r>
              <w:rPr>
                <w:rFonts w:hint="eastAsia" w:ascii="Times New Roman" w:hAnsi="仿宋" w:eastAsia="仿宋_GB2312" w:cs="仿宋"/>
                <w:b/>
                <w:sz w:val="28"/>
                <w:szCs w:val="28"/>
              </w:rPr>
              <w:t>号</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岳阳市君山区商务粮食局拟在岳阳市君山区柳林洲街道办事处上反嘴村、林角居委会和君山区水管会合围区城新建君山区景明农产品市场(一项目概况期)建设项目，项目占地面积约19155.2m</w:t>
            </w:r>
            <w:r>
              <w:rPr>
                <w:rFonts w:hint="eastAsia" w:ascii="仿宋_GB2312" w:hAnsi="仿宋_GB2312" w:eastAsia="仿宋_GB2312" w:cs="仿宋_GB2312"/>
                <w:sz w:val="28"/>
                <w:vertAlign w:val="superscript"/>
              </w:rPr>
              <w:t>2</w:t>
            </w:r>
            <w:r>
              <w:rPr>
                <w:rFonts w:hint="eastAsia" w:ascii="仿宋_GB2312" w:hAnsi="仿宋_GB2312" w:eastAsia="仿宋_GB2312" w:cs="仿宋_GB2312"/>
                <w:sz w:val="28"/>
              </w:rPr>
              <w:t>，总投资2768.34万元，其中环保投资94万元，该项目拟建设2栋2楼建筑用作农产品交易市场，1栋3F建筑用作管理用房以及配套设施</w:t>
            </w:r>
            <w:r>
              <w:rPr>
                <w:rFonts w:hint="eastAsia" w:ascii="仿宋_GB2312" w:hAnsi="仿宋_GB2312" w:eastAsia="仿宋_GB2312" w:cs="仿宋_GB2312"/>
                <w:sz w:val="28"/>
                <w:lang w:eastAsia="zh-CN"/>
              </w:rPr>
              <w:t>。</w:t>
            </w:r>
            <w:r>
              <w:rPr>
                <w:rFonts w:hint="eastAsia" w:ascii="仿宋_GB2312" w:hAnsi="仿宋_GB2312" w:eastAsia="仿宋_GB2312" w:cs="仿宋_GB2312"/>
                <w:sz w:val="28"/>
              </w:rPr>
              <w:t>根据河南金环环境影响评价有限公司编制的环境影响报告表基本内容、结论和专家审查意见，从环境保护角度考虑，同意本项目的建设。</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一、建设单位须逐项落实环评报告表提出的各项环保措施，严格执行环保“三同时”制度，配套建设污染防治设施，加强环境管理，确保外排污染物长期稳定达标排放。在工程设计、建设和管理中，应着重注意以下问题：</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1、坚持环境保护“三同时”制度，确保环保经费投入，认真落实专家及环评报告表中提出的各项污染防治、风险防范措施。</w:t>
            </w:r>
          </w:p>
          <w:p>
            <w:pPr>
              <w:snapToGrid w:val="0"/>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切实做好施工期环境保护工作。本项目施工期主要为设备安装及厂房装修，合理安排设备安装的作业时间，施工作业应采取隔声降噪措施，禁止夜间（22时至次日6时）施工。建设期装修垃圾及生活垃圾不得露天堆放，装修垃圾如废弃设备材料等，可售至废旧资源回收站；生活垃圾定点收集，由园区环卫部门统一收集处理。禁止将施工废渣排入周边渠道、农田等环境内。</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3</w:t>
            </w:r>
            <w:r>
              <w:rPr>
                <w:rFonts w:hint="eastAsia" w:ascii="仿宋_GB2312" w:hAnsi="仿宋_GB2312" w:eastAsia="仿宋_GB2312" w:cs="仿宋_GB2312"/>
                <w:sz w:val="28"/>
              </w:rPr>
              <w:t>、废水污染防治。本项目采用雨污分流制，雨水经收集后排入周边农灌梁，生活污水经化粪池处理、地面清洗污水经隔油池处理后达到三级标准经市政污水管网排入君山区第二污水处理厂，在管网未碰通前经自建的地埋式污水处理站处理达到《污水综合排放标准》（GB8978-1996）表4中的一级标准后排入周边农灌渠，</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4</w:t>
            </w:r>
            <w:r>
              <w:rPr>
                <w:rFonts w:hint="eastAsia" w:ascii="仿宋_GB2312" w:hAnsi="仿宋_GB2312" w:eastAsia="仿宋_GB2312" w:cs="仿宋_GB2312"/>
                <w:sz w:val="28"/>
                <w:lang w:eastAsia="zh-CN"/>
              </w:rPr>
              <w:t>、</w:t>
            </w:r>
            <w:r>
              <w:rPr>
                <w:rFonts w:hint="eastAsia" w:ascii="仿宋_GB2312" w:hAnsi="仿宋_GB2312" w:eastAsia="仿宋_GB2312" w:cs="仿宋_GB2312"/>
                <w:sz w:val="28"/>
              </w:rPr>
              <w:t>废气污染防治，柴油发电机产生的废气通过排烟管道排至楼顶排放，垃圾收集间产生的气体经收集后并通过活性炭吸附后引致楼顶排放。生产和生活垃圾做到日产日清，降低臭气对周围带去环境的影响.</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5</w:t>
            </w:r>
            <w:r>
              <w:rPr>
                <w:rFonts w:hint="eastAsia" w:ascii="仿宋_GB2312" w:hAnsi="仿宋_GB2312" w:eastAsia="仿宋_GB2312" w:cs="仿宋_GB2312"/>
                <w:sz w:val="28"/>
                <w:lang w:eastAsia="zh-CN"/>
              </w:rPr>
              <w:t>、</w:t>
            </w:r>
            <w:r>
              <w:rPr>
                <w:rFonts w:hint="eastAsia" w:ascii="仿宋_GB2312" w:hAnsi="仿宋_GB2312" w:eastAsia="仿宋_GB2312" w:cs="仿宋_GB2312"/>
                <w:sz w:val="28"/>
              </w:rPr>
              <w:t>噪声污荣防治，采用低噪声设备，采取减振、吸音、隔声等措施，确保场界噪声</w:t>
            </w:r>
            <w:r>
              <w:rPr>
                <w:rFonts w:hint="eastAsia" w:ascii="仿宋_GB2312" w:hAnsi="仿宋_GB2312" w:eastAsia="仿宋_GB2312" w:cs="仿宋_GB2312"/>
                <w:sz w:val="28"/>
                <w:lang w:eastAsia="zh-CN"/>
              </w:rPr>
              <w:t>符合</w:t>
            </w:r>
            <w:r>
              <w:rPr>
                <w:rFonts w:hint="eastAsia" w:ascii="仿宋_GB2312" w:hAnsi="仿宋_GB2312" w:eastAsia="仿宋_GB2312" w:cs="仿宋_GB2312"/>
                <w:sz w:val="28"/>
              </w:rPr>
              <w:t>《社会生活环境噪声排放标准》（GB22337-2008）中的</w:t>
            </w:r>
            <w:r>
              <w:rPr>
                <w:rFonts w:hint="eastAsia" w:ascii="仿宋_GB2312" w:hAnsi="仿宋_GB2312" w:eastAsia="仿宋_GB2312" w:cs="仿宋_GB2312"/>
                <w:sz w:val="28"/>
                <w:lang w:val="en-US" w:eastAsia="zh-CN"/>
              </w:rPr>
              <w:t>2</w:t>
            </w:r>
            <w:r>
              <w:rPr>
                <w:rFonts w:hint="eastAsia" w:ascii="仿宋_GB2312" w:hAnsi="仿宋_GB2312" w:eastAsia="仿宋_GB2312" w:cs="仿宋_GB2312"/>
                <w:sz w:val="28"/>
              </w:rPr>
              <w:t>类标准。</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6</w:t>
            </w:r>
            <w:r>
              <w:rPr>
                <w:rFonts w:hint="eastAsia" w:ascii="仿宋_GB2312" w:hAnsi="仿宋_GB2312" w:eastAsia="仿宋_GB2312" w:cs="仿宋_GB2312"/>
                <w:sz w:val="28"/>
                <w:lang w:eastAsia="zh-CN"/>
              </w:rPr>
              <w:t>、</w:t>
            </w:r>
            <w:r>
              <w:rPr>
                <w:rFonts w:hint="eastAsia" w:ascii="仿宋_GB2312" w:hAnsi="仿宋_GB2312" w:eastAsia="仿宋_GB2312" w:cs="仿宋_GB2312"/>
                <w:sz w:val="28"/>
              </w:rPr>
              <w:t>固体废物污染防治。本项目生产的生活垃圾、废包装袋、不合格及腐烂的农产品，以及自建污水处理站产生的污泥，通过收集后统交由环卫部门统一清运处理。</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二、你单位应在收到本批复后</w:t>
            </w:r>
            <w:r>
              <w:rPr>
                <w:rFonts w:ascii="仿宋_GB2312" w:hAnsi="仿宋_GB2312" w:eastAsia="仿宋_GB2312" w:cs="仿宋_GB2312"/>
                <w:sz w:val="28"/>
              </w:rPr>
              <w:t>15</w:t>
            </w:r>
            <w:r>
              <w:rPr>
                <w:rFonts w:hint="eastAsia" w:ascii="仿宋_GB2312" w:hAnsi="仿宋_GB2312" w:eastAsia="仿宋_GB2312" w:cs="仿宋_GB2312"/>
                <w:sz w:val="28"/>
              </w:rPr>
              <w:t>个工作日内，将批复及</w:t>
            </w:r>
            <w:r>
              <w:rPr>
                <w:rFonts w:hint="eastAsia" w:ascii="仿宋_GB2312" w:hAnsi="仿宋_GB2312" w:eastAsia="仿宋_GB2312" w:cs="仿宋_GB2312"/>
                <w:sz w:val="28"/>
                <w:lang w:eastAsia="zh-CN"/>
              </w:rPr>
              <w:t>被</w:t>
            </w:r>
            <w:r>
              <w:rPr>
                <w:rFonts w:hint="eastAsia" w:ascii="仿宋_GB2312" w:hAnsi="仿宋_GB2312" w:eastAsia="仿宋_GB2312" w:cs="仿宋_GB2312"/>
                <w:sz w:val="28"/>
              </w:rPr>
              <w:t>批准的环评报告文本送至岳阳市</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、河南金环环境影响评价有限公司。</w:t>
            </w:r>
            <w:r>
              <w:rPr>
                <w:rFonts w:ascii="仿宋_GB2312" w:hAnsi="仿宋_GB2312" w:eastAsia="仿宋_GB2312" w:cs="仿宋_GB2312"/>
                <w:sz w:val="28"/>
              </w:rPr>
              <w:t xml:space="preserve"> </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三、岳阳市</w:t>
            </w:r>
            <w:bookmarkStart w:id="0" w:name="_GoBack"/>
            <w:bookmarkEnd w:id="0"/>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负责项目建设期和营运期的日常环境监管。</w:t>
            </w: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hint="eastAsia" w:ascii="仿宋_GB2312" w:eastAsia="仿宋_GB2312"/>
                <w:w w:val="90"/>
                <w:sz w:val="28"/>
                <w:lang w:eastAsia="zh-CN"/>
              </w:rPr>
            </w:pPr>
            <w:r>
              <w:rPr>
                <w:rFonts w:hint="eastAsia" w:ascii="仿宋_GB2312" w:eastAsia="仿宋_GB2312"/>
                <w:w w:val="90"/>
                <w:sz w:val="28"/>
              </w:rPr>
              <w:t>经办人：</w:t>
            </w:r>
            <w:r>
              <w:rPr>
                <w:rFonts w:hint="eastAsia" w:ascii="仿宋_GB2312" w:eastAsia="仿宋_GB2312"/>
                <w:w w:val="90"/>
                <w:sz w:val="28"/>
                <w:lang w:eastAsia="zh-CN"/>
              </w:rPr>
              <w:t>章鹏</w:t>
            </w:r>
          </w:p>
          <w:p>
            <w:pPr>
              <w:snapToGrid w:val="0"/>
              <w:rPr>
                <w:rFonts w:hint="eastAsia" w:ascii="仿宋_GB2312" w:eastAsia="仿宋_GB2312"/>
                <w:w w:val="90"/>
                <w:sz w:val="28"/>
              </w:rPr>
            </w:pPr>
          </w:p>
          <w:p>
            <w:pPr>
              <w:snapToGrid w:val="0"/>
              <w:rPr>
                <w:rFonts w:hint="eastAsia" w:ascii="仿宋_GB2312" w:eastAsia="仿宋_GB2312"/>
                <w:w w:val="90"/>
                <w:sz w:val="28"/>
              </w:rPr>
            </w:pPr>
          </w:p>
          <w:p>
            <w:pPr>
              <w:snapToGrid w:val="0"/>
              <w:rPr>
                <w:rFonts w:hint="eastAsia" w:ascii="仿宋_GB2312" w:hAnsi="Times New Roman" w:eastAsia="仿宋_GB2312"/>
                <w:sz w:val="28"/>
                <w:lang w:val="en-US" w:eastAsia="zh-CN"/>
              </w:rPr>
            </w:pPr>
            <w:r>
              <w:rPr>
                <w:rFonts w:hint="eastAsia" w:ascii="仿宋_GB2312" w:eastAsia="仿宋_GB2312"/>
                <w:w w:val="90"/>
                <w:sz w:val="28"/>
              </w:rPr>
              <w:t>审批人：</w:t>
            </w:r>
            <w:r>
              <w:rPr>
                <w:rFonts w:hint="eastAsia" w:ascii="仿宋_GB2312" w:eastAsia="仿宋_GB2312"/>
                <w:w w:val="90"/>
                <w:sz w:val="28"/>
                <w:lang w:eastAsia="zh-CN"/>
              </w:rPr>
              <w:t>龚卿</w:t>
            </w:r>
            <w:r>
              <w:rPr>
                <w:rFonts w:ascii="仿宋_GB2312" w:hAnsi="Times New Roman" w:eastAsia="仿宋_GB2312"/>
                <w:sz w:val="28"/>
              </w:rPr>
              <w:t xml:space="preserve">                                </w:t>
            </w:r>
            <w:r>
              <w:rPr>
                <w:rFonts w:hint="eastAsia" w:ascii="仿宋_GB2312" w:hAnsi="Times New Roman" w:eastAsia="仿宋_GB2312"/>
                <w:sz w:val="28"/>
                <w:lang w:val="en-US" w:eastAsia="zh-CN"/>
              </w:rPr>
              <w:t xml:space="preserve"> </w:t>
            </w:r>
          </w:p>
          <w:p>
            <w:pPr>
              <w:snapToGrid w:val="0"/>
              <w:rPr>
                <w:rFonts w:hint="eastAsia" w:ascii="仿宋_GB2312" w:hAnsi="Times New Roman" w:eastAsia="仿宋_GB2312"/>
                <w:sz w:val="28"/>
                <w:lang w:val="en-US" w:eastAsia="zh-CN"/>
              </w:rPr>
            </w:pPr>
          </w:p>
          <w:p>
            <w:pPr>
              <w:snapToGrid w:val="0"/>
              <w:ind w:firstLine="5600" w:firstLineChars="2000"/>
              <w:rPr>
                <w:rFonts w:ascii="仿宋_GB2312" w:hAnsi="Times New Roman" w:eastAsia="仿宋_GB2312"/>
                <w:sz w:val="28"/>
              </w:rPr>
            </w:pPr>
            <w:r>
              <w:rPr>
                <w:rFonts w:hint="eastAsia" w:ascii="仿宋_GB2312" w:hAnsi="Times New Roman" w:eastAsia="仿宋_GB2312"/>
                <w:sz w:val="28"/>
                <w:lang w:val="en-US" w:eastAsia="zh-CN"/>
              </w:rPr>
              <w:t xml:space="preserve">      </w:t>
            </w:r>
            <w:r>
              <w:rPr>
                <w:rFonts w:ascii="仿宋_GB2312" w:hAnsi="Times New Roman" w:eastAsia="仿宋_GB2312"/>
                <w:sz w:val="28"/>
              </w:rPr>
              <w:t xml:space="preserve"> </w:t>
            </w:r>
          </w:p>
          <w:p>
            <w:pPr>
              <w:snapToGrid w:val="0"/>
              <w:ind w:firstLine="5600" w:firstLineChars="2000"/>
              <w:rPr>
                <w:rFonts w:ascii="仿宋_GB2312" w:hAnsi="Times New Roman" w:eastAsia="仿宋_GB2312"/>
                <w:sz w:val="28"/>
              </w:rPr>
            </w:pPr>
          </w:p>
          <w:p>
            <w:pPr>
              <w:snapToGrid w:val="0"/>
              <w:ind w:firstLine="5600" w:firstLineChars="2000"/>
              <w:rPr>
                <w:rFonts w:ascii="仿宋_GB2312" w:hAnsi="Times New Roman" w:eastAsia="仿宋_GB2312"/>
                <w:sz w:val="28"/>
              </w:rPr>
            </w:pPr>
          </w:p>
          <w:p>
            <w:pPr>
              <w:snapToGrid w:val="0"/>
              <w:ind w:firstLine="6720" w:firstLineChars="2400"/>
              <w:rPr>
                <w:rFonts w:ascii="仿宋_GB2312" w:hAnsi="Times New Roman" w:eastAsia="仿宋_GB2312"/>
                <w:sz w:val="28"/>
              </w:rPr>
            </w:pPr>
            <w:r>
              <w:rPr>
                <w:rFonts w:hint="eastAsia" w:ascii="仿宋_GB2312" w:eastAsia="仿宋_GB2312"/>
                <w:sz w:val="28"/>
              </w:rPr>
              <w:t>公</w:t>
            </w:r>
            <w:r>
              <w:rPr>
                <w:rFonts w:ascii="仿宋_GB2312" w:hAnsi="Times New Roman" w:eastAsia="仿宋_GB2312"/>
                <w:sz w:val="28"/>
              </w:rPr>
              <w:t xml:space="preserve">     </w:t>
            </w:r>
            <w:r>
              <w:rPr>
                <w:rFonts w:hint="eastAsia" w:ascii="仿宋_GB2312" w:eastAsia="仿宋_GB2312"/>
                <w:sz w:val="28"/>
              </w:rPr>
              <w:t>章</w:t>
            </w:r>
          </w:p>
          <w:p>
            <w:pPr>
              <w:snapToGrid w:val="0"/>
              <w:rPr>
                <w:rFonts w:ascii="仿宋_GB2312" w:eastAsia="仿宋_GB2312"/>
                <w:sz w:val="28"/>
              </w:rPr>
            </w:pPr>
            <w:r>
              <w:rPr>
                <w:rFonts w:ascii="仿宋_GB2312" w:hAnsi="Times New Roman" w:eastAsia="仿宋_GB2312"/>
                <w:sz w:val="28"/>
              </w:rPr>
              <w:t xml:space="preserve">                                            </w:t>
            </w:r>
            <w:r>
              <w:rPr>
                <w:rFonts w:hint="eastAsia" w:ascii="仿宋_GB2312" w:hAnsi="Times New Roman" w:eastAsia="仿宋_GB2312"/>
                <w:sz w:val="28"/>
                <w:lang w:val="en-US" w:eastAsia="zh-CN"/>
              </w:rPr>
              <w:t>2018</w:t>
            </w:r>
            <w:r>
              <w:rPr>
                <w:rFonts w:hint="eastAsia" w:ascii="仿宋_GB2312" w:eastAsia="仿宋_GB2312"/>
                <w:sz w:val="28"/>
              </w:rPr>
              <w:t>年</w:t>
            </w:r>
            <w:r>
              <w:rPr>
                <w:rFonts w:hint="eastAsia" w:ascii="仿宋_GB2312" w:hAnsi="Times New Roman" w:eastAsia="仿宋_GB2312"/>
                <w:sz w:val="28"/>
                <w:lang w:val="en-US" w:eastAsia="zh-CN"/>
              </w:rPr>
              <w:t>11</w:t>
            </w:r>
            <w:r>
              <w:rPr>
                <w:rFonts w:hint="eastAsia" w:ascii="仿宋_GB2312" w:eastAsia="仿宋_GB2312"/>
                <w:sz w:val="28"/>
              </w:rPr>
              <w:t>月</w:t>
            </w:r>
            <w:r>
              <w:rPr>
                <w:rFonts w:hint="eastAsia" w:ascii="仿宋_GB2312" w:hAnsi="Times New Roman" w:eastAsia="仿宋_GB2312"/>
                <w:sz w:val="28"/>
                <w:lang w:val="en-US" w:eastAsia="zh-CN"/>
              </w:rPr>
              <w:t>16</w:t>
            </w:r>
            <w:r>
              <w:rPr>
                <w:rFonts w:hint="eastAsia" w:ascii="仿宋_GB2312" w:eastAsia="仿宋_GB2312"/>
                <w:sz w:val="28"/>
              </w:rPr>
              <w:t>日</w:t>
            </w:r>
          </w:p>
          <w:p>
            <w:pPr>
              <w:snapToGrid w:val="0"/>
              <w:rPr>
                <w:rFonts w:ascii="仿宋_GB2312" w:eastAsia="仿宋_GB2312"/>
                <w:sz w:val="28"/>
              </w:rPr>
            </w:pPr>
          </w:p>
        </w:tc>
      </w:tr>
    </w:tbl>
    <w:p>
      <w:pPr>
        <w:spacing w:line="480" w:lineRule="exact"/>
        <w:rPr>
          <w:rFonts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703020204020201"/>
    <w:charset w:val="86"/>
    <w:family w:val="auto"/>
    <w:pitch w:val="default"/>
    <w:sig w:usb0="80000287" w:usb1="2A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roman"/>
    <w:pitch w:val="default"/>
    <w:sig w:usb0="00000000" w:usb1="00000000" w:usb2="00000016" w:usb3="00000000" w:csb0="00040001" w:csb1="00000000"/>
  </w:font>
  <w:font w:name="新宋体-18030">
    <w:altName w:val="宋体"/>
    <w:panose1 w:val="00000000000000000000"/>
    <w:charset w:val="00"/>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C6A"/>
    <w:rsid w:val="0012026D"/>
    <w:rsid w:val="002A2489"/>
    <w:rsid w:val="005A017E"/>
    <w:rsid w:val="00610954"/>
    <w:rsid w:val="00A06C6A"/>
    <w:rsid w:val="00A80E69"/>
    <w:rsid w:val="00EE55F9"/>
    <w:rsid w:val="00F5106F"/>
    <w:rsid w:val="06CD030B"/>
    <w:rsid w:val="08197F1E"/>
    <w:rsid w:val="09B61525"/>
    <w:rsid w:val="09BA7346"/>
    <w:rsid w:val="0CC05552"/>
    <w:rsid w:val="0F785FFA"/>
    <w:rsid w:val="10C80F9C"/>
    <w:rsid w:val="1A9501CB"/>
    <w:rsid w:val="1AFB290C"/>
    <w:rsid w:val="1E265FEE"/>
    <w:rsid w:val="20715C02"/>
    <w:rsid w:val="208308DE"/>
    <w:rsid w:val="20884185"/>
    <w:rsid w:val="223E6D13"/>
    <w:rsid w:val="224B3D9F"/>
    <w:rsid w:val="23613310"/>
    <w:rsid w:val="2E920DDD"/>
    <w:rsid w:val="38386F3F"/>
    <w:rsid w:val="3A7B06D5"/>
    <w:rsid w:val="3D907881"/>
    <w:rsid w:val="3DE63CF7"/>
    <w:rsid w:val="3E1210F4"/>
    <w:rsid w:val="407C5ACE"/>
    <w:rsid w:val="40A06FA9"/>
    <w:rsid w:val="41FD68FE"/>
    <w:rsid w:val="45BB05A9"/>
    <w:rsid w:val="462D6297"/>
    <w:rsid w:val="4AA57F8A"/>
    <w:rsid w:val="4F8C03E6"/>
    <w:rsid w:val="50A91980"/>
    <w:rsid w:val="516C13F1"/>
    <w:rsid w:val="583017FF"/>
    <w:rsid w:val="5C14264A"/>
    <w:rsid w:val="5EE308E7"/>
    <w:rsid w:val="61980384"/>
    <w:rsid w:val="694A38A1"/>
    <w:rsid w:val="6F4018E2"/>
    <w:rsid w:val="70A37142"/>
    <w:rsid w:val="71007ECC"/>
    <w:rsid w:val="76947924"/>
    <w:rsid w:val="76C560FE"/>
    <w:rsid w:val="7CE31B5D"/>
    <w:rsid w:val="7DEC61B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2"/>
    <w:basedOn w:val="1"/>
    <w:next w:val="1"/>
    <w:unhideWhenUsed/>
    <w:qFormat/>
    <w:locked/>
    <w:uiPriority w:val="0"/>
    <w:pPr>
      <w:keepNext/>
      <w:keepLines/>
      <w:spacing w:before="260" w:beforeLines="0" w:after="260" w:afterLines="0" w:line="416" w:lineRule="auto"/>
      <w:outlineLvl w:val="1"/>
    </w:pPr>
    <w:rPr>
      <w:rFonts w:ascii="Arial" w:hAnsi="Arial" w:eastAsia="黑体"/>
      <w:b/>
      <w:bCs/>
      <w:sz w:val="32"/>
      <w:szCs w:val="32"/>
    </w:rPr>
  </w:style>
  <w:style w:type="paragraph" w:styleId="5">
    <w:name w:val="heading 3"/>
    <w:basedOn w:val="4"/>
    <w:next w:val="1"/>
    <w:unhideWhenUsed/>
    <w:qFormat/>
    <w:locked/>
    <w:uiPriority w:val="0"/>
    <w:pPr>
      <w:keepNext/>
      <w:keepLines/>
      <w:spacing w:before="260" w:beforeLines="0" w:after="260" w:afterLines="0" w:line="416" w:lineRule="auto"/>
      <w:outlineLvl w:val="2"/>
    </w:pPr>
    <w:rPr>
      <w:b w:val="0"/>
      <w:bCs w:val="0"/>
      <w:sz w:val="32"/>
      <w:szCs w:val="32"/>
    </w:rPr>
  </w:style>
  <w:style w:type="character" w:default="1" w:styleId="7">
    <w:name w:val="Default Paragraph Font"/>
    <w:semiHidden/>
    <w:qFormat/>
    <w:uiPriority w:val="99"/>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next w:val="3"/>
    <w:semiHidden/>
    <w:unhideWhenUsed/>
    <w:qFormat/>
    <w:uiPriority w:val="99"/>
    <w:pPr>
      <w:spacing w:after="120"/>
    </w:pPr>
  </w:style>
  <w:style w:type="paragraph" w:customStyle="1" w:styleId="3">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styleId="6">
    <w:name w:val="Normal (Web)"/>
    <w:basedOn w:val="1"/>
    <w:qFormat/>
    <w:uiPriority w:val="99"/>
    <w:pPr>
      <w:spacing w:before="100" w:beforeAutospacing="1" w:after="100" w:afterAutospacing="1"/>
      <w:jc w:val="left"/>
    </w:pPr>
    <w:rPr>
      <w:kern w:val="0"/>
      <w:sz w:val="24"/>
    </w:rPr>
  </w:style>
  <w:style w:type="paragraph" w:customStyle="1" w:styleId="9">
    <w:name w:val="WPS Plain"/>
    <w:qFormat/>
    <w:uiPriority w:val="99"/>
    <w:rPr>
      <w:rFonts w:ascii="Calibri" w:hAnsi="Calibri" w:eastAsia="宋体" w:cs="Times New Roman"/>
      <w:kern w:val="0"/>
      <w:sz w:val="21"/>
      <w:szCs w:val="22"/>
      <w:lang w:val="en-US" w:eastAsia="zh-CN" w:bidi="ar-SA"/>
    </w:rPr>
  </w:style>
  <w:style w:type="paragraph" w:customStyle="1" w:styleId="10">
    <w:name w:val="0"/>
    <w:basedOn w:val="1"/>
    <w:qFormat/>
    <w:uiPriority w:val="99"/>
    <w:pPr>
      <w:widowControl/>
      <w:snapToGrid w:val="0"/>
      <w:spacing w:line="365" w:lineRule="atLeast"/>
      <w:ind w:left="1"/>
      <w:textAlignment w:val="bottom"/>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235</Words>
  <Characters>1345</Characters>
  <Lines>0</Lines>
  <Paragraphs>0</Paragraphs>
  <TotalTime>4268</TotalTime>
  <ScaleCrop>false</ScaleCrop>
  <LinksUpToDate>false</LinksUpToDate>
  <CharactersWithSpaces>0</CharactersWithSpaces>
  <Application>WPS Office_10.1.0.7670_F1E327BC-269C-435d-A152-05C5408002CA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Administrator</cp:lastModifiedBy>
  <cp:lastPrinted>2018-11-19T00:38:07Z</cp:lastPrinted>
  <dcterms:modified xsi:type="dcterms:W3CDTF">2018-11-19T03:38:43Z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