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岳阳市君山区文化旅游广电体育局</w:t>
      </w:r>
    </w:p>
    <w:p>
      <w:pPr>
        <w:spacing w:line="570" w:lineRule="atLeast"/>
        <w:jc w:val="center"/>
        <w:rPr>
          <w:rFonts w:hint="eastAsia" w:ascii="黑体" w:hAnsi="黑体" w:eastAsia="黑体" w:cs="黑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2024年部门预算公开</w:t>
      </w:r>
    </w:p>
    <w:p>
      <w:pPr>
        <w:rPr>
          <w:rFonts w:hint="eastAsia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  <w:r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  <w:t>目 录</w:t>
      </w:r>
    </w:p>
    <w:p>
      <w:pPr>
        <w:widowControl/>
        <w:spacing w:line="570" w:lineRule="atLeast"/>
        <w:ind w:firstLine="630" w:firstLineChars="196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第一部分 2024年部门预算说明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一、部门基本概况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二、部门预算单位构成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三、部门收支总体情况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四、一般公共预算拨款支出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五、政府性基金预算支出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六、其他重要事项的情况说明</w:t>
      </w:r>
    </w:p>
    <w:p>
      <w:pPr>
        <w:spacing w:line="570" w:lineRule="atLeast"/>
        <w:ind w:firstLine="64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七、名词解释</w:t>
      </w:r>
    </w:p>
    <w:p>
      <w:pPr>
        <w:ind w:firstLine="643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第二部分 2024年部门预算表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1、收支总表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2、收入总表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3、支出总表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4、支出预算分类汇总表（按政府预算经济分类）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5、支出预算分类汇总表（按部门预算经济分类）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6、财政拨款收支总表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7、一般公共预算支出表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8、一般公共预算基本支出表-人员经费（工资福利支出）（按政府预算经济分类）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9、一般公共预算基本支出表-人员经费（工资福利支出）（按部门预算经济分类）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10、一般公共预算基本支出表-人员经费（对个人和家庭的补助）（按政府预算经济分类）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11、一般公共预算基本支出表-人员经费（对个人和家庭的补助）（按部门预算经济分类）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12、一般公共预算基本支出表-公用经费（商品和服务支出）（按政府预算经济分类）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13、一般公共预算基本支出表-公用经费（商品和服务支出）（按部门预算经济分类）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14、一般公共预算“三公”经费支出表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15、政府性基金预算支出表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16、政府性基金预算支出分类汇总表（按政府预算经济分类）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17、政府性基金预算支出分类汇总表（按部门预算经济分类）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18、国有资本经营预算支出表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19、财政专户管理资金预算支出表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20、专项资金预算汇总表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21、项目支出绩效目标表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22、部门整体支出绩效目标表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23、一般公共预算基本支出表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注：以上部门预算公开报表中，空表表示本部门无相关收支情况。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="Times New Roman" w:hAnsi="Times New Roman" w:eastAsia="方正小标宋_GBK" w:cs="Times New Roman"/>
          <w:b/>
          <w:bCs/>
          <w:kern w:val="0"/>
          <w:sz w:val="36"/>
          <w:szCs w:val="36"/>
        </w:rPr>
        <w:t>第一部分 部门预算公开说明</w:t>
      </w:r>
    </w:p>
    <w:p>
      <w:pPr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</w:p>
    <w:p>
      <w:pPr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一、部门基本概况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（一）职能职责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贯彻党和国家有关文化艺术、广播电视、方针、政策和法律、法规、规章，把握正确的舆论和制作导向；拟订全区文化旅游广播电视体育的政策，起草有关地方性法规、规章草案；拟订全区文化旅游广播电视体育事业发展规划，并组织实施；指导、推进全区文化旅游广播电视体育领域的体制机制创新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2.指导管理全区文学艺术事业，指导艺术创作与生产。重点扶持具有代表性、示范性、实验性的文化艺术品种，推动各门类艺术的发展。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3.推进文化旅游广电体育领域的公共文化服务，规划、引导公共文化产品生产，统筹安排文化、文物事业经费；指导全区重点文化体育设施建设和基层文化体育设施建设。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拟订全区文化市场发展规划，指导全区文化市场综合执法工作，负责对全区文化艺术经营活动进行管理，指导对从事演艺活动的民办机构的监管工作，负责文艺类产品网上传播的初审工作，负责对网吧等上网服务营业场所实行经营许可证管理，负责对网络游戏服务进行监管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.指导、管理全区社会文化事业，拟订社会文化事业发展规划并组织实施，指导、管理全区图书馆、文化馆（站）事业，全民读书活动、农家书屋工程和基层文化建设；拟订全区非物质文化遗产保护规则，组织实施全区非物质文化遗产保护和优秀民族文化的传承普及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6.指导协调全区广播电视事业、产业发展。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7.推动全区群众体育和竞技已与产业的发展，拟订全区全民健身计划。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8.发展体育产业，拓展体育市场，依法审查全区体育经营活动的从业资格。</w:t>
      </w:r>
    </w:p>
    <w:p>
      <w:pPr>
        <w:widowControl/>
        <w:spacing w:line="600" w:lineRule="exact"/>
        <w:ind w:firstLine="640" w:firstLineChars="200"/>
        <w:jc w:val="left"/>
        <w:rPr>
          <w:rFonts w:eastAsia="楷体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9.承办区委、区政府交办的其他事项。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（二）机构设置</w:t>
      </w:r>
    </w:p>
    <w:p>
      <w:pPr>
        <w:widowControl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君山区文化旅游广电体育局单位内设机构（6个）包括：1.办公室（加挂法规监督股、行政审批股）、2.文化事业股（加挂区“扫黄打非”办公室牌子）、3.广电事业股、4.旅游事业股、5.体育事业股、6.政工计账股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君山区文化旅游广电体育局属一级预算行政单位，下设二级机构1.文化馆；2.图书馆；3.文物管理所；4.君山旅游质量监测中心; 5.文化市场综合行政执法大队（财务单列）。</w:t>
      </w:r>
    </w:p>
    <w:p>
      <w:pPr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  <w:highlight w:val="none"/>
        </w:rPr>
        <w:t>二、部门预算单位构成</w:t>
      </w:r>
    </w:p>
    <w:p>
      <w:pPr>
        <w:widowControl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本部门预算为汇总预算，纳入2024年部门预算编制范围的预算单位包括：</w:t>
      </w:r>
    </w:p>
    <w:p>
      <w:pPr>
        <w:widowControl/>
        <w:spacing w:line="600" w:lineRule="exact"/>
        <w:ind w:firstLine="627" w:firstLineChars="196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</w:t>
      </w:r>
      <w:r>
        <w:rPr>
          <w:rFonts w:hint="eastAsia" w:eastAsia="仿宋_GB2312"/>
          <w:sz w:val="32"/>
          <w:szCs w:val="32"/>
        </w:rPr>
        <w:t>岳阳市君山区文化旅游广电体育局</w:t>
      </w:r>
      <w:r>
        <w:rPr>
          <w:rFonts w:eastAsia="仿宋_GB2312"/>
          <w:sz w:val="32"/>
          <w:szCs w:val="32"/>
        </w:rPr>
        <w:t>本级</w:t>
      </w:r>
    </w:p>
    <w:p>
      <w:pPr>
        <w:widowControl/>
        <w:spacing w:line="600" w:lineRule="exact"/>
        <w:ind w:firstLine="627" w:firstLineChars="196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</w:t>
      </w:r>
      <w:r>
        <w:rPr>
          <w:rFonts w:hint="eastAsia" w:eastAsia="仿宋_GB2312"/>
          <w:sz w:val="32"/>
          <w:szCs w:val="32"/>
        </w:rPr>
        <w:t>岳阳市君山区文化市场综合行政执法大队</w:t>
      </w:r>
    </w:p>
    <w:p>
      <w:pPr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  <w:highlight w:val="none"/>
        </w:rPr>
        <w:t>部门收支总体情况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本部门2024年没有政府性基金预算拨款、国有资本经营预算收入和纳入专户管理的非税收入拨款收入，也没有使用政府性基金预算拨款、国有资本经营预算收入和纳入专户管理的非税收入拨款安排的支出，所以部门预算公开表15、16、17、18、19表均为空。</w:t>
      </w:r>
    </w:p>
    <w:p>
      <w:pPr>
        <w:numPr>
          <w:ilvl w:val="0"/>
          <w:numId w:val="1"/>
        </w:num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收入预算：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包括一般公共预算、政府性基金、国有资本经营预算等财政拨款收入，以及经营收入、事业收入等单位资金。2024年本部门收入预算484.85万元，其中，一般公共预算拨款484.85万元，政府性基金预算资金0.00万元(所以部门预算公开表15-17表为空)，国有资本经营预算资金0.00万元(所以部门预算公开表18表为空)，财政专户管理资金0.00万元(所以部门预算公开表19表为空)，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级补助收入资金0.00万元，事业单位经营收入资金0.00万元，上年结转结余0.00万元。收入较去年减少99.39万元，下降17.01%。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主要原因是减少了5名工作人员，导致2024年预算较上年减少。</w:t>
      </w:r>
    </w:p>
    <w:p>
      <w:pPr>
        <w:numPr>
          <w:ilvl w:val="0"/>
          <w:numId w:val="0"/>
        </w:numPr>
        <w:spacing w:line="570" w:lineRule="atLeas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4826000" cy="2743200"/>
            <wp:effectExtent l="4445" t="4445" r="8255" b="52705"/>
            <wp:docPr id="8" name="图表 7" descr="7b0a202020202263686172745265734964223a20223230343736303933220a7d0a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numPr>
          <w:ilvl w:val="0"/>
          <w:numId w:val="1"/>
        </w:num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支出预算：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2024年本部门支出预算484.85万元其中：文化旅游体育与传媒支出400.68万元，社会保障和就业支出44.87万元，卫生健康支出14.81万元，住房保障支出24.49万元。支出较去年减少99.39万元，下降17.01%。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主要原因是减少了5名工作人员，导致2024年预算较上年减少。</w:t>
      </w:r>
    </w:p>
    <w:p>
      <w:pPr>
        <w:widowControl w:val="0"/>
        <w:numPr>
          <w:ilvl w:val="0"/>
          <w:numId w:val="0"/>
        </w:numPr>
        <w:spacing w:line="570" w:lineRule="atLeast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   </w:t>
      </w:r>
      <w:r>
        <w:drawing>
          <wp:inline distT="0" distB="0" distL="114300" distR="114300">
            <wp:extent cx="4596765" cy="3001010"/>
            <wp:effectExtent l="4445" t="4445" r="8890" b="23495"/>
            <wp:docPr id="2" name="图表 1" descr="7b0a202020202263686172745265734964223a20223230343735353931220a7d0a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四、一般公共预算拨款支出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2024年本部门一般公共预算拨款支出484.85万元，其中：文化旅游体育与传媒支出400.68万元，占82.64%；社会保障和就业支出44.87万元，占9.26%；卫生健康支出14.81万元，占3.05%；住房保障支出24.49万元，占5.05%。具体安排情况如下：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（一）基本支出：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2024年本部门基本支出预算数321.57万元，主要是为保障部门正常运转、完成日常工作任务而发生的各项支出，包括用于基本工资、津贴补贴等人员经费以及办公费、印刷费、水电费、办公设备购置等公用经费。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（二）项目支出：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2024年本部门项目支出预算163.28万元，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主要是部门为完成特定行政工作任务或事业发展目标而发生的支出，包括</w:t>
      </w:r>
      <w:r>
        <w:rPr>
          <w:rFonts w:eastAsia="仿宋_GB2312"/>
          <w:sz w:val="32"/>
          <w:szCs w:val="32"/>
        </w:rPr>
        <w:t>包括</w:t>
      </w:r>
      <w:r>
        <w:rPr>
          <w:rFonts w:hint="eastAsia" w:eastAsia="仿宋_GB2312"/>
          <w:sz w:val="32"/>
          <w:szCs w:val="32"/>
          <w:lang w:eastAsia="zh-CN"/>
        </w:rPr>
        <w:t>业务工作经费支出、运行维护经费</w:t>
      </w:r>
      <w:r>
        <w:rPr>
          <w:rFonts w:eastAsia="仿宋_GB2312"/>
          <w:sz w:val="32"/>
          <w:szCs w:val="32"/>
        </w:rPr>
        <w:t>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其中：文化旅游体育与传媒支出163.28万元，</w:t>
      </w:r>
      <w:r>
        <w:rPr>
          <w:rFonts w:hint="eastAsia" w:eastAsia="仿宋_GB2312"/>
          <w:sz w:val="32"/>
          <w:szCs w:val="32"/>
        </w:rPr>
        <w:t>主要用于1、积极开展“文化惠民·送戏下乡”系列活动； 2、积极开展“非遗”宣传和传承工作； 3、加强文物保护和重建； 4、图书馆活动线上线下同步开展； 5、全力推进农文旅体融合；6、开展多种形式的旅游节会活动；7、全区全民体育健身和深度推进；8、积极筹备开展大型赛事活动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>
      <w:pPr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五、政府性基金预算支出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2024年度本部门无政府性基金安排的支出，所以公开的附件15-17表（政府性基金预算）为空。</w:t>
      </w:r>
    </w:p>
    <w:p>
      <w:pPr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六、其他重要事项的情况说明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right="0" w:rightChars="0" w:firstLine="643" w:firstLineChars="200"/>
        <w:jc w:val="both"/>
        <w:textAlignment w:val="center"/>
        <w:rPr>
          <w:rFonts w:hint="eastAsia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（一）机关运行经费：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年本单位</w:t>
      </w:r>
      <w:r>
        <w:rPr>
          <w:rFonts w:hint="eastAsia" w:eastAsia="仿宋_GB2312"/>
          <w:sz w:val="32"/>
          <w:szCs w:val="32"/>
        </w:rPr>
        <w:t>本级</w:t>
      </w:r>
      <w:r>
        <w:rPr>
          <w:rFonts w:hint="eastAsia" w:eastAsia="仿宋_GB2312"/>
          <w:sz w:val="32"/>
          <w:szCs w:val="32"/>
          <w:lang w:eastAsia="zh-CN"/>
        </w:rPr>
        <w:t>和</w:t>
      </w:r>
      <w:r>
        <w:rPr>
          <w:rFonts w:hint="eastAsia" w:eastAsia="仿宋_GB2312"/>
          <w:sz w:val="32"/>
          <w:szCs w:val="32"/>
        </w:rPr>
        <w:t>君山区文化市场综合行政执法大队共</w:t>
      </w:r>
      <w:r>
        <w:rPr>
          <w:rFonts w:hint="eastAsia" w:eastAsia="仿宋_GB2312"/>
          <w:sz w:val="32"/>
          <w:szCs w:val="32"/>
          <w:lang w:val="en-US" w:eastAsia="zh-CN"/>
        </w:rPr>
        <w:t>两</w:t>
      </w:r>
      <w:r>
        <w:rPr>
          <w:rFonts w:hint="eastAsia" w:eastAsia="仿宋_GB2312"/>
          <w:sz w:val="32"/>
          <w:szCs w:val="32"/>
        </w:rPr>
        <w:t>家</w:t>
      </w:r>
      <w:r>
        <w:rPr>
          <w:rFonts w:eastAsia="仿宋_GB2312"/>
          <w:sz w:val="32"/>
          <w:szCs w:val="32"/>
        </w:rPr>
        <w:t>行政事业单位</w:t>
      </w:r>
      <w:r>
        <w:rPr>
          <w:rFonts w:hint="eastAsia" w:eastAsia="仿宋_GB2312"/>
          <w:sz w:val="32"/>
          <w:szCs w:val="32"/>
        </w:rPr>
        <w:t>汇总的</w:t>
      </w:r>
      <w:r>
        <w:rPr>
          <w:rFonts w:eastAsia="仿宋_GB2312"/>
          <w:sz w:val="32"/>
          <w:szCs w:val="32"/>
        </w:rPr>
        <w:t>机关运行</w:t>
      </w:r>
      <w:r>
        <w:rPr>
          <w:rFonts w:hint="eastAsia" w:eastAsia="仿宋_GB2312"/>
          <w:sz w:val="32"/>
          <w:szCs w:val="32"/>
        </w:rPr>
        <w:t>经费</w:t>
      </w:r>
      <w:r>
        <w:rPr>
          <w:rFonts w:hint="eastAsia" w:eastAsia="仿宋_GB2312"/>
          <w:sz w:val="32"/>
          <w:szCs w:val="32"/>
          <w:lang w:val="en-US" w:eastAsia="zh-CN"/>
        </w:rPr>
        <w:t>33.35</w:t>
      </w:r>
      <w:r>
        <w:rPr>
          <w:rFonts w:hint="eastAsia" w:eastAsia="仿宋_GB2312"/>
          <w:sz w:val="32"/>
          <w:szCs w:val="32"/>
        </w:rPr>
        <w:t>万元，比上年预算</w:t>
      </w:r>
      <w:r>
        <w:rPr>
          <w:rFonts w:hint="eastAsia" w:eastAsia="仿宋_GB2312"/>
          <w:sz w:val="32"/>
          <w:szCs w:val="32"/>
        </w:rPr>
        <w:t>减少</w:t>
      </w:r>
      <w:r>
        <w:rPr>
          <w:rFonts w:hint="eastAsia" w:eastAsia="仿宋_GB2312"/>
          <w:sz w:val="32"/>
          <w:szCs w:val="32"/>
          <w:lang w:val="en-US" w:eastAsia="zh-CN"/>
        </w:rPr>
        <w:t>15.16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31.25</w:t>
      </w:r>
      <w:r>
        <w:rPr>
          <w:rFonts w:hint="eastAsia" w:eastAsia="仿宋_GB2312"/>
          <w:sz w:val="32"/>
          <w:szCs w:val="32"/>
        </w:rPr>
        <w:t>%，</w:t>
      </w:r>
      <w:r>
        <w:rPr>
          <w:rFonts w:hint="eastAsia" w:eastAsia="仿宋_GB2312"/>
          <w:sz w:val="32"/>
          <w:szCs w:val="32"/>
          <w:lang w:val="en-US" w:eastAsia="zh-CN"/>
        </w:rPr>
        <w:t>主要原因是减少了五名在职工作人员。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（二）“三公”经费预算：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年本单位</w:t>
      </w:r>
      <w:r>
        <w:rPr>
          <w:rFonts w:hint="eastAsia" w:eastAsia="仿宋_GB2312"/>
          <w:sz w:val="32"/>
          <w:szCs w:val="32"/>
        </w:rPr>
        <w:t>本级</w:t>
      </w:r>
      <w:r>
        <w:rPr>
          <w:rFonts w:hint="eastAsia" w:eastAsia="仿宋_GB2312"/>
          <w:sz w:val="32"/>
          <w:szCs w:val="32"/>
          <w:lang w:eastAsia="zh-CN"/>
        </w:rPr>
        <w:t>和</w:t>
      </w:r>
      <w:r>
        <w:rPr>
          <w:rFonts w:hint="eastAsia" w:eastAsia="仿宋_GB2312"/>
          <w:sz w:val="32"/>
          <w:szCs w:val="32"/>
        </w:rPr>
        <w:t>君山区文化市场综合行政执法大队共</w:t>
      </w:r>
      <w:r>
        <w:rPr>
          <w:rFonts w:hint="eastAsia" w:eastAsia="仿宋_GB2312"/>
          <w:sz w:val="32"/>
          <w:szCs w:val="32"/>
          <w:lang w:val="en-US" w:eastAsia="zh-CN"/>
        </w:rPr>
        <w:t>两</w:t>
      </w:r>
      <w:r>
        <w:rPr>
          <w:rFonts w:hint="eastAsia" w:eastAsia="仿宋_GB2312"/>
          <w:sz w:val="32"/>
          <w:szCs w:val="32"/>
        </w:rPr>
        <w:t>家</w:t>
      </w:r>
      <w:r>
        <w:rPr>
          <w:rFonts w:eastAsia="仿宋_GB2312"/>
          <w:sz w:val="32"/>
          <w:szCs w:val="32"/>
        </w:rPr>
        <w:t>行政事业单位</w:t>
      </w:r>
      <w:r>
        <w:rPr>
          <w:rFonts w:hint="eastAsia" w:eastAsia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“三公”经费预算数为2.6万元，其中，公务接待费2.6万元，公务用车购置及运行费0万元（其中，公务用车购置费0万元，公务用车运行费0万元），因公出国（境）费0万元。2024年“三公”经费预算较2023年减少1.3万元，主要原因是严格落实中央“八项规定”精神和“过紧日子”的要求，从严控制“三公”经费支出。</w:t>
      </w:r>
      <w:bookmarkStart w:id="0" w:name="START_IS_ZERO_06_2"/>
      <w:bookmarkEnd w:id="0"/>
      <w:bookmarkStart w:id="1" w:name="DIS_MARK_IS_ZERO_06_2"/>
      <w:bookmarkEnd w:id="1"/>
      <w:bookmarkStart w:id="2" w:name="END_IS_ZERO_06_2"/>
      <w:bookmarkEnd w:id="2"/>
      <w:bookmarkStart w:id="3" w:name="END_IS_ZERO_06_1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（三）一般性支出情况：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2024年本部门会议费预算0万元，拟召开0次会议，人数0人；培训费预算0万元，拟开展0次培训，人数0人；未计划举办节庆、晚会、论坛、赛事活动，经费预算0万元。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（四）政府采购情况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2024年本部门政府采购预算总额109.3万元，其中，货物类采购预算46.5万元；工程类采购预算0万元；服务类采购预算62.8万元。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（五）国有资产占用使用及新增资产配置情况：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截至2023年12月底，本单位共有公务用车0辆，其中，机要通信用车0辆，应急保障用车0辆，执法执勤用车0辆，特种专业技术用车0辆，其他按照规定配备的公务用车0辆；单位价值50万元以上设备0台，其中，单位价值100万元以上设备0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2024年拟新增配置公务用车0辆，其中，机要通信用车0辆，应急保障用车0辆，执法执勤用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车0辆，特种专业技术用车0辆，其他按照规定配备的公务用车0辆；新增配备单位价值50万元以上设备0台，其中，单位价值100万元以上设备0台。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（六）预算绩效目标说明：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本部门所有支出实行绩效目标管理。纳入2024年部门整体支出绩效目标的金额为484.85万元，其中，基本支出321.57万元，项目支出163.28万元，具体绩效目标详见文尾附表中部门预算公开表21-2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2表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七、名词解释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1．机关运行经费：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spacing w:line="570" w:lineRule="atLeast"/>
        <w:ind w:firstLine="643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2．“三公”经费：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  <w:bookmarkStart w:id="4" w:name="_GoBack"/>
      <w:bookmarkEnd w:id="4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center"/>
        <w:textAlignment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  <w:lang w:val="en-US" w:eastAsia="zh-CN" w:bidi="ar-SA"/>
        </w:rPr>
        <w:t>第二部分  2024年部门预算公开表格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1、收支总表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2、收入总表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3、支出总表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4、支出预算分类汇总表（按政府预算经济分类）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5、支出预算分类汇总表（按部门预算经济分类）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6、财政拨款收支总表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7、一般公共预算支出表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8、一般公共预算基本支出表-人员经费（工资福利支出）（按政府预算经济分类）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9、一般公共预算基本支出表-人员经费（工资福利支出）（按部门预算经济分类）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10、一般公共预算基本支出表-人员经费（对个人和家庭的补助）（按政府预算经济分类）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11、一般公共预算基本支出表-人员经费（对个人和家庭的补助）（按部门预算经济分类）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12、一般公共预算基本支出表-公用经费（商品和服务支出）（按政府预算经济分类）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13、一般公共预算基本支出表-公用经费（商品和服务支出）（按部门预算经济分类）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14、一般公共预算“三公”经费支出表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15、政府性基金预算支出表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16、政府性基金预算支出分类汇总表（按政府预算经济分类）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17、政府性基金预算支出分类汇总表（按部门预算经济分类）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18、国有资本经营预算支出表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19、财政专户管理资金预算支出表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20、专项资金预算汇总表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21、项目支出绩效目标表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22、部门整体支出绩效目标表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23、一般公共预算基本支出表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注：以上部门预算公开报表中，空表表示本部门无相关收支情况。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right="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附件：岳阳市君山区文化旅游广电体育局2024年部门预算公开表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/>
        <w:jc w:val="both"/>
        <w:textAlignment w:val="center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50E854"/>
    <w:multiLevelType w:val="singleLevel"/>
    <w:tmpl w:val="A250E85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OWI1YTBjMDVmMmNiM2E1MjU2ZTkzMDY0OTdlNjQifQ=="/>
  </w:docVars>
  <w:rsids>
    <w:rsidRoot w:val="637274E6"/>
    <w:rsid w:val="001A64C4"/>
    <w:rsid w:val="010827C0"/>
    <w:rsid w:val="010D1261"/>
    <w:rsid w:val="05974297"/>
    <w:rsid w:val="066547B5"/>
    <w:rsid w:val="0794481D"/>
    <w:rsid w:val="08B97B9F"/>
    <w:rsid w:val="0BC81D71"/>
    <w:rsid w:val="0BD240F7"/>
    <w:rsid w:val="0C923A83"/>
    <w:rsid w:val="0E5B42C5"/>
    <w:rsid w:val="112B4160"/>
    <w:rsid w:val="11A2545A"/>
    <w:rsid w:val="13B9253E"/>
    <w:rsid w:val="167C1082"/>
    <w:rsid w:val="16FB76F0"/>
    <w:rsid w:val="1AB469DE"/>
    <w:rsid w:val="1BD61953"/>
    <w:rsid w:val="1C6F6CFF"/>
    <w:rsid w:val="1C744CBF"/>
    <w:rsid w:val="1CA22C22"/>
    <w:rsid w:val="1ECC4DAF"/>
    <w:rsid w:val="1F8F2DF1"/>
    <w:rsid w:val="20CE0ED9"/>
    <w:rsid w:val="22CF50BC"/>
    <w:rsid w:val="22E36792"/>
    <w:rsid w:val="232333DF"/>
    <w:rsid w:val="2545624C"/>
    <w:rsid w:val="25BF7042"/>
    <w:rsid w:val="26F31C01"/>
    <w:rsid w:val="29BC4134"/>
    <w:rsid w:val="2B98280F"/>
    <w:rsid w:val="2C6F6899"/>
    <w:rsid w:val="2C8B2374"/>
    <w:rsid w:val="2CD84711"/>
    <w:rsid w:val="2D3A78E3"/>
    <w:rsid w:val="328F1D91"/>
    <w:rsid w:val="3C4E0CC8"/>
    <w:rsid w:val="3C8308D1"/>
    <w:rsid w:val="427D1B8C"/>
    <w:rsid w:val="436D70FC"/>
    <w:rsid w:val="46004DE1"/>
    <w:rsid w:val="498B70B7"/>
    <w:rsid w:val="49B90028"/>
    <w:rsid w:val="4AF62C56"/>
    <w:rsid w:val="4DBA372C"/>
    <w:rsid w:val="4E511DD4"/>
    <w:rsid w:val="4EE728E7"/>
    <w:rsid w:val="515B4CE3"/>
    <w:rsid w:val="51B62990"/>
    <w:rsid w:val="52E837CD"/>
    <w:rsid w:val="584D797F"/>
    <w:rsid w:val="5B525B22"/>
    <w:rsid w:val="5BCD52BC"/>
    <w:rsid w:val="5D4F6922"/>
    <w:rsid w:val="62CB7F2F"/>
    <w:rsid w:val="637274E6"/>
    <w:rsid w:val="65385EEE"/>
    <w:rsid w:val="659A6EE8"/>
    <w:rsid w:val="666D1BC7"/>
    <w:rsid w:val="68675E30"/>
    <w:rsid w:val="699851AD"/>
    <w:rsid w:val="6C601EDD"/>
    <w:rsid w:val="6D6656CC"/>
    <w:rsid w:val="6DE7565E"/>
    <w:rsid w:val="70096E04"/>
    <w:rsid w:val="703B0498"/>
    <w:rsid w:val="72A44BC2"/>
    <w:rsid w:val="73626AED"/>
    <w:rsid w:val="74E078D2"/>
    <w:rsid w:val="77174058"/>
    <w:rsid w:val="78CC0C1A"/>
    <w:rsid w:val="7C7F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oleObject" Target="file:///C:\Users\Administrator\Desktop\&#25910;&#20837;&#39044;&#31639;&#22270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25910;&#20837;&#39044;&#31639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 forceAA="0"/>
          <a:lstStyle/>
          <a:p>
            <a:pPr>
              <a:defRPr lang="zh-CN"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t>收入预算图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view3D>
      <c:rotX val="25"/>
      <c:rotY val="0"/>
      <c:depthPercent val="100"/>
      <c:rAngAx val="0"/>
      <c:perspective val="2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spPr>
            <a:ln w="15875" cmpd="sng">
              <a:solidFill>
                <a:schemeClr val="bg1"/>
              </a:solidFill>
              <a:prstDash val="solid"/>
            </a:ln>
            <a:effectLst/>
            <a:scene3d>
              <a:camera prst="orthographicFront"/>
              <a:lightRig rig="threePt" dir="t"/>
            </a:scene3d>
            <a:sp3d contourW="15875" prstMaterial="flat"/>
          </c:spPr>
          <c:explosion val="0"/>
          <c:dPt>
            <c:idx val="0"/>
            <c:bubble3D val="0"/>
            <c:spPr>
              <a:gradFill>
                <a:gsLst>
                  <a:gs pos="0">
                    <a:schemeClr val="accent1">
                      <a:lumMod val="60000"/>
                      <a:lumOff val="40000"/>
                    </a:schemeClr>
                  </a:gs>
                  <a:gs pos="70000">
                    <a:schemeClr val="accent1"/>
                  </a:gs>
                </a:gsLst>
                <a:lin ang="13500000" scaled="0"/>
              </a:gradFill>
              <a:ln w="15875" cmpd="sng">
                <a:solidFill>
                  <a:schemeClr val="accent1">
                    <a:lumMod val="75000"/>
                  </a:schemeClr>
                </a:solidFill>
                <a:prstDash val="solid"/>
              </a:ln>
              <a:effectLst/>
              <a:scene3d>
                <a:camera prst="orthographicFront"/>
                <a:lightRig rig="threePt" dir="t"/>
              </a:scene3d>
              <a:sp3d contourW="15875" prstMaterial="flat"/>
            </c:spPr>
          </c:dPt>
          <c:dLbls>
            <c:dLbl>
              <c:idx val="0"/>
              <c:layout/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 forceAA="0"/>
                <a:lstStyle/>
                <a:p>
                  <a:pPr>
                    <a:defRPr lang="zh-CN" sz="900" b="0" i="0" u="none" strike="noStrike" kern="1200" baseline="0">
                      <a:solidFill>
                        <a:schemeClr val="bg1"/>
                      </a:solidFill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inEnd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 forceAA="0"/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latin typeface="+mn-lt"/>
                    <a:ea typeface="+mn-ea"/>
                    <a:cs typeface="+mn-cs"/>
                  </a:defRPr>
                </a:pPr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extLst>
                <c:ext xmlns:c15="http://schemas.microsoft.com/office/drawing/2012/chart" uri="{02D57815-91ED-43cb-92C2-25804820EDAC}">
                  <c15:fullRef>
                    <c15:sqref>[收入预算图.xlsx]Sheet1!$B$31:$B$32</c15:sqref>
                  </c15:fullRef>
                </c:ext>
              </c:extLst>
              <c:f>[收入预算图.xlsx]Sheet1!$B$31</c:f>
              <c:strCache>
                <c:ptCount val="1"/>
                <c:pt idx="0">
                  <c:v>一般公共预算拨款收入</c:v>
                </c:pt>
              </c:strCache>
            </c:strRef>
          </c:cat>
          <c:val>
            <c:numRef>
              <c:extLst>
                <c:ext xmlns:c15="http://schemas.microsoft.com/office/drawing/2012/chart" uri="{02D57815-91ED-43cb-92C2-25804820EDAC}">
                  <c15:fullRef>
                    <c15:sqref>Sheet1!$C$31:$C$32</c15:sqref>
                  </c15:fullRef>
                </c:ext>
              </c:extLst>
              <c:f>[收入预算图.xlsx]Sheet1!$C$31</c:f>
              <c:numCache>
                <c:formatCode>0%</c:formatCode>
                <c:ptCount val="1"/>
                <c:pt idx="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 forceAA="0"/>
        <a:lstStyle/>
        <a:p>
          <a:pPr>
            <a:defRPr lang="zh-CN" sz="900" b="0" i="0" u="none" strike="noStrike" kern="120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85000"/>
        </a:schemeClr>
      </a:solidFill>
      <a:prstDash val="solid"/>
      <a:round/>
    </a:ln>
    <a:effectLst>
      <a:outerShdw blurRad="63500" dist="37357" dir="2700000" sx="0" sy="0" rotWithShape="0">
        <a:scrgbClr r="0" g="0" b="0"/>
      </a:outerShdw>
    </a:effectLst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支出预算图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0867440254178754"/>
          <c:y val="0.302044011849344"/>
          <c:w val="0.826511949164249"/>
          <c:h val="0.612797291578502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9525"/>
          </c:spPr>
          <c:explosion val="0"/>
          <c:dPt>
            <c:idx val="0"/>
            <c:bubble3D val="0"/>
            <c:spPr>
              <a:gradFill>
                <a:gsLst>
                  <a:gs pos="100000">
                    <a:schemeClr val="accent1"/>
                  </a:gs>
                  <a:gs pos="0">
                    <a:schemeClr val="accent1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1">
                        <a:lumMod val="75000"/>
                      </a:schemeClr>
                    </a:gs>
                    <a:gs pos="0">
                      <a:schemeClr val="accent1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1"/>
            <c:bubble3D val="0"/>
            <c:spPr>
              <a:gradFill>
                <a:gsLst>
                  <a:gs pos="100000">
                    <a:schemeClr val="accent2"/>
                  </a:gs>
                  <a:gs pos="0">
                    <a:schemeClr val="accent2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2">
                        <a:lumMod val="75000"/>
                      </a:schemeClr>
                    </a:gs>
                    <a:gs pos="0">
                      <a:schemeClr val="accent2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2"/>
            <c:bubble3D val="0"/>
            <c:spPr>
              <a:gradFill>
                <a:gsLst>
                  <a:gs pos="100000">
                    <a:schemeClr val="accent3"/>
                  </a:gs>
                  <a:gs pos="0">
                    <a:schemeClr val="accent3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3">
                        <a:lumMod val="75000"/>
                      </a:schemeClr>
                    </a:gs>
                    <a:gs pos="0">
                      <a:schemeClr val="accent3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3"/>
            <c:bubble3D val="0"/>
            <c:spPr>
              <a:gradFill>
                <a:gsLst>
                  <a:gs pos="100000">
                    <a:schemeClr val="accent4"/>
                  </a:gs>
                  <a:gs pos="0">
                    <a:schemeClr val="accent4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4">
                        <a:lumMod val="75000"/>
                      </a:schemeClr>
                    </a:gs>
                    <a:gs pos="0">
                      <a:schemeClr val="accent4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Lbls>
            <c:dLbl>
              <c:idx val="0"/>
              <c:layout>
                <c:manualLayout>
                  <c:x val="0.021758346528558"/>
                  <c:y val="0.00882887040751033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121836119124768"/>
                  <c:y val="0.0356008671323811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30597809552784"/>
                  <c:y val="-0.0692934782608696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240660118818549"/>
                  <c:y val="0.0108389392220462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0.00%" sourceLinked="0"/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65000"/>
                    <a:lumOff val="35000"/>
                  </a:sysClr>
                </a:solidFill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eparator> </c:separator>
            <c:showLeaderLines val="1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[收入预算图.xlsx]Sheet1!$B$2:$B$5</c:f>
              <c:strCache>
                <c:ptCount val="4"/>
                <c:pt idx="0">
                  <c:v>社会保障和就业支出</c:v>
                </c:pt>
                <c:pt idx="1">
                  <c:v>卫生健康支出</c:v>
                </c:pt>
                <c:pt idx="2">
                  <c:v>文化旅游体育与传媒支出</c:v>
                </c:pt>
                <c:pt idx="3">
                  <c:v>住房保障支出</c:v>
                </c:pt>
              </c:strCache>
            </c:strRef>
          </c:cat>
          <c:val>
            <c:numRef>
              <c:f>[收入预算图.xlsx]Sheet1!$C$2:$C$5</c:f>
              <c:numCache>
                <c:formatCode>0.00%</c:formatCode>
                <c:ptCount val="4"/>
                <c:pt idx="0">
                  <c:v>0.0926</c:v>
                </c:pt>
                <c:pt idx="1">
                  <c:v>0.0305</c:v>
                </c:pt>
                <c:pt idx="2">
                  <c:v>0.8264</c:v>
                </c:pt>
                <c:pt idx="3">
                  <c:v>0.0505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</c:dLbls>
      </c:pie3DChart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lt1">
        <a:lumMod val="96000"/>
      </a:schemeClr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97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lt1">
          <a:lumMod val="96000"/>
        </a:schemeClr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100000">
            <a:schemeClr val="phClr"/>
          </a:gs>
          <a:gs pos="0">
            <a:schemeClr val="phClr">
              <a:hueOff val="-1670000"/>
            </a:schemeClr>
          </a:gs>
        </a:gsLst>
        <a:lin ang="5400000" scaled="0"/>
      </a:gradFill>
      <a:ln>
        <a:gradFill>
          <a:gsLst>
            <a:gs pos="100000">
              <a:schemeClr val="phClr">
                <a:lumMod val="75000"/>
              </a:schemeClr>
            </a:gs>
            <a:gs pos="0">
              <a:schemeClr val="phClr">
                <a:lumMod val="75000"/>
                <a:hueOff val="-1670000"/>
              </a:schemeClr>
            </a:gs>
          </a:gsLst>
          <a:lin ang="4620000" scaled="0"/>
        </a:gradFill>
      </a:ln>
      <a:effectLst/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noFill/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75000"/>
            <a:lumOff val="25000"/>
          </a:schemeClr>
        </a:solidFill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35000"/>
            <a:lumOff val="65000"/>
          </a:schemeClr>
        </a:solidFill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自定义 6">
    <a:dk1>
      <a:srgbClr val="000000"/>
    </a:dk1>
    <a:lt1>
      <a:srgbClr val="FFFFFF"/>
    </a:lt1>
    <a:dk2>
      <a:srgbClr val="0C0E1F"/>
    </a:dk2>
    <a:lt2>
      <a:srgbClr val="FEFFFF"/>
    </a:lt2>
    <a:accent1>
      <a:srgbClr val="54C9FA"/>
    </a:accent1>
    <a:accent2>
      <a:srgbClr val="6C92FD"/>
    </a:accent2>
    <a:accent3>
      <a:srgbClr val="FF731F"/>
    </a:accent3>
    <a:accent4>
      <a:srgbClr val="16CC8A"/>
    </a:accent4>
    <a:accent5>
      <a:srgbClr val="FFC619"/>
    </a:accent5>
    <a:accent6>
      <a:srgbClr val="4E37FF"/>
    </a:accent6>
    <a:hlink>
      <a:srgbClr val="304FFE"/>
    </a:hlink>
    <a:folHlink>
      <a:srgbClr val="492067"/>
    </a:folHlink>
  </a:clrScheme>
  <a:fontScheme name="自定义 2">
    <a:majorFont>
      <a:latin typeface="微软雅黑"/>
      <a:ea typeface="微软雅黑"/>
      <a:cs typeface=""/>
    </a:majorFont>
    <a:minorFont>
      <a:latin typeface="微软雅黑"/>
      <a:ea typeface="微软雅黑"/>
      <a:cs typeface="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4126</Words>
  <Characters>4433</Characters>
  <Lines>0</Lines>
  <Paragraphs>0</Paragraphs>
  <TotalTime>0</TotalTime>
  <ScaleCrop>false</ScaleCrop>
  <LinksUpToDate>false</LinksUpToDate>
  <CharactersWithSpaces>4458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2024-05-22T14:39:00Z</dcterms:created>
  <dc:creator>dell</dc:creator>
  <cp:lastModifiedBy>李瑞</cp:lastModifiedBy>
  <dcterms:modified xsi:type="dcterms:W3CDTF">2024-06-08T12:14:37Z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60BC7339106041DA91BAB39D0CD3151D_13</vt:lpwstr>
  </property>
</Properties>
</file>