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atLeast"/>
        <w:jc w:val="center"/>
        <w:rPr>
          <w:rFonts w:hint="eastAsia" w:ascii="方正小标宋简体" w:hAnsi="方正小标宋简体" w:eastAsia="方正小标宋简体" w:cs="方正小标宋简体"/>
          <w:b/>
          <w:bCs/>
          <w:sz w:val="44"/>
          <w:szCs w:val="44"/>
          <w:lang w:val="en-US" w:eastAsia="zh-CN"/>
        </w:rPr>
      </w:pPr>
    </w:p>
    <w:p>
      <w:pPr>
        <w:spacing w:line="570" w:lineRule="atLeast"/>
        <w:jc w:val="center"/>
        <w:rPr>
          <w:rFonts w:hint="eastAsia" w:ascii="方正小标宋简体" w:hAnsi="方正小标宋简体" w:eastAsia="方正小标宋简体" w:cs="方正小标宋简体"/>
          <w:b/>
          <w:bCs/>
          <w:sz w:val="44"/>
          <w:szCs w:val="44"/>
          <w:lang w:val="en-US" w:eastAsia="zh-CN"/>
        </w:rPr>
      </w:pPr>
    </w:p>
    <w:p>
      <w:pPr>
        <w:spacing w:line="570" w:lineRule="atLeast"/>
        <w:jc w:val="center"/>
        <w:rPr>
          <w:rFonts w:hint="eastAsia" w:ascii="方正小标宋简体" w:hAnsi="方正小标宋简体" w:eastAsia="方正小标宋简体" w:cs="方正小标宋简体"/>
          <w:b/>
          <w:bCs/>
          <w:sz w:val="44"/>
          <w:szCs w:val="44"/>
          <w:lang w:val="en-US" w:eastAsia="zh-CN"/>
        </w:rPr>
      </w:pPr>
    </w:p>
    <w:p>
      <w:pPr>
        <w:spacing w:line="570" w:lineRule="atLeast"/>
        <w:jc w:val="center"/>
        <w:rPr>
          <w:rFonts w:hint="eastAsia" w:ascii="方正小标宋简体" w:hAnsi="方正小标宋简体" w:eastAsia="方正小标宋简体" w:cs="方正小标宋简体"/>
          <w:b/>
          <w:bCs/>
          <w:sz w:val="44"/>
          <w:szCs w:val="44"/>
          <w:lang w:val="en-US" w:eastAsia="zh-CN"/>
        </w:rPr>
      </w:pPr>
    </w:p>
    <w:p>
      <w:pPr>
        <w:spacing w:line="570" w:lineRule="atLeast"/>
        <w:jc w:val="center"/>
        <w:rPr>
          <w:rFonts w:hint="eastAsia" w:ascii="方正小标宋简体" w:hAnsi="方正小标宋简体" w:eastAsia="方正小标宋简体" w:cs="方正小标宋简体"/>
          <w:b/>
          <w:bCs/>
          <w:sz w:val="44"/>
          <w:szCs w:val="44"/>
          <w:lang w:val="en-US" w:eastAsia="zh-CN"/>
        </w:rPr>
      </w:pPr>
    </w:p>
    <w:p>
      <w:pPr>
        <w:spacing w:line="570" w:lineRule="atLeast"/>
        <w:jc w:val="center"/>
        <w:rPr>
          <w:rFonts w:hint="eastAsia" w:ascii="方正小标宋简体" w:hAnsi="方正小标宋简体" w:eastAsia="方正小标宋简体" w:cs="方正小标宋简体"/>
          <w:b/>
          <w:bCs/>
          <w:sz w:val="44"/>
          <w:szCs w:val="44"/>
          <w:lang w:val="en-US" w:eastAsia="zh-CN"/>
        </w:rPr>
      </w:pPr>
    </w:p>
    <w:p>
      <w:pPr>
        <w:spacing w:line="570" w:lineRule="atLeas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岳阳市君山区财政事务中心</w:t>
      </w:r>
    </w:p>
    <w:p>
      <w:pPr>
        <w:spacing w:line="570" w:lineRule="atLeast"/>
        <w:jc w:val="center"/>
        <w:rPr>
          <w:rFonts w:hint="eastAsia" w:ascii="黑体" w:hAnsi="黑体" w:eastAsia="黑体" w:cs="黑体"/>
          <w:b/>
          <w:bCs/>
          <w:sz w:val="48"/>
          <w:szCs w:val="48"/>
        </w:rPr>
      </w:pPr>
      <w:r>
        <w:rPr>
          <w:rFonts w:hint="eastAsia" w:ascii="方正小标宋简体" w:hAnsi="方正小标宋简体" w:eastAsia="方正小标宋简体" w:cs="方正小标宋简体"/>
          <w:b/>
          <w:bCs/>
          <w:sz w:val="44"/>
          <w:szCs w:val="44"/>
          <w:lang w:val="en-US" w:eastAsia="zh-CN"/>
        </w:rPr>
        <w:t>2024年部门预算公开</w:t>
      </w:r>
    </w:p>
    <w:p>
      <w:pPr>
        <w:rPr>
          <w:rFonts w:hint="eastAsia"/>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p>
    <w:p>
      <w:pPr>
        <w:widowControl/>
        <w:spacing w:line="570" w:lineRule="atLeast"/>
        <w:jc w:val="center"/>
        <w:rPr>
          <w:rFonts w:hint="eastAsia" w:ascii="Times New Roman" w:hAnsi="Times New Roman" w:eastAsia="黑体" w:cs="Times New Roman"/>
          <w:b/>
          <w:kern w:val="0"/>
          <w:sz w:val="36"/>
          <w:szCs w:val="36"/>
        </w:rPr>
      </w:pPr>
      <w:r>
        <w:rPr>
          <w:rFonts w:hint="eastAsia" w:ascii="Times New Roman" w:hAnsi="Times New Roman" w:eastAsia="黑体" w:cs="Times New Roman"/>
          <w:b/>
          <w:kern w:val="0"/>
          <w:sz w:val="36"/>
          <w:szCs w:val="36"/>
        </w:rPr>
        <w:t>目 录</w:t>
      </w:r>
    </w:p>
    <w:p>
      <w:pPr>
        <w:ind w:firstLine="643" w:firstLineChars="200"/>
        <w:rPr>
          <w:rFonts w:hint="eastAsia" w:asciiTheme="minorEastAsia" w:hAnsiTheme="minorEastAsia" w:eastAsiaTheme="minorEastAsia" w:cstheme="minorEastAsia"/>
          <w:sz w:val="28"/>
          <w:szCs w:val="28"/>
        </w:rPr>
      </w:pPr>
      <w:r>
        <w:rPr>
          <w:rFonts w:hint="eastAsia" w:ascii="黑体" w:hAnsi="黑体" w:eastAsia="黑体" w:cs="黑体"/>
          <w:b/>
          <w:bCs/>
          <w:kern w:val="0"/>
          <w:sz w:val="32"/>
          <w:szCs w:val="32"/>
        </w:rPr>
        <w:t>第一部分 2024年部门预算说明</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一、部门基本概况</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二、部门预算单位构成</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三、部门收支总体情况</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四、一般公共预算拨款支出</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五、政府性基金预算支出</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六、其他重要事项的情况说明</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七、名词解释</w:t>
      </w:r>
    </w:p>
    <w:p>
      <w:pPr>
        <w:ind w:firstLine="643" w:firstLineChars="200"/>
        <w:rPr>
          <w:rFonts w:hint="eastAsia" w:asciiTheme="minorEastAsia" w:hAnsiTheme="minorEastAsia" w:eastAsiaTheme="minorEastAsia" w:cstheme="minorEastAsia"/>
          <w:sz w:val="28"/>
          <w:szCs w:val="28"/>
        </w:rPr>
      </w:pPr>
      <w:r>
        <w:rPr>
          <w:rFonts w:hint="eastAsia" w:ascii="黑体" w:hAnsi="黑体" w:eastAsia="黑体" w:cs="黑体"/>
          <w:b/>
          <w:bCs/>
          <w:kern w:val="0"/>
          <w:sz w:val="32"/>
          <w:szCs w:val="32"/>
        </w:rPr>
        <w:t>第二部分 2024年部门预算表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1、收支总表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2、收入总表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3、支出总表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4、支出预算分类汇总表（按政府预算经济分类）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5、支出预算分类汇总表（按部门预算经济分类）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6、财政拨款收支总表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7、一般公共预算支出表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8、一般公共预算基本支出表-人员经费（工资福利支出）（按政府预算经济分类）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9、一般公共预算基本支出表-人员经费（工资福利支出）（按部门预算经济分类）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10、一般公共预算基本支出表-人员经费（对个人和家庭的补助）（按政府预算经济分类）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11、一般公共预算基本支出表-人员经费（对个人和家庭的补助）（按部门预算经济分类）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12、一般公共预算基本支出表-公用经费（商品和服务支出）（按政府预算经济分类）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13、一般公共预算基本支出表-公用经费（商品和服务支出）（按部门预算经济分类）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14、一般公共预算“三公”经费支出表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15、政府性基金预算支出表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16、政府性基金预算支出分类汇总表（按政府预算经济分类）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17、政府性基金预算支出分类汇总表（按部门预算经济分类）</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18、国有资本经营预算支出表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19、财政专户管理资金预算支出表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20、专项资金预算汇总表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21、项目支出绩效目标表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22、部门整体支出绩效目标表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23、一般公共预算基本支出表</w:t>
      </w:r>
    </w:p>
    <w:p>
      <w:pPr>
        <w:spacing w:line="570" w:lineRule="atLeast"/>
        <w:ind w:firstLine="640" w:firstLineChars="200"/>
        <w:rPr>
          <w:rFonts w:hint="eastAsia"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注：以上部门预算公开报表中，空表表示本部门无相关收支情况。</w:t>
      </w:r>
    </w:p>
    <w:p>
      <w:pPr>
        <w:jc w:val="center"/>
        <w:rPr>
          <w:rFonts w:hint="eastAsia" w:asciiTheme="minorEastAsia" w:hAnsiTheme="minorEastAsia" w:eastAsiaTheme="minorEastAsia" w:cstheme="minorEastAsia"/>
          <w:b/>
          <w:bCs/>
          <w:sz w:val="28"/>
          <w:szCs w:val="28"/>
        </w:rPr>
      </w:pPr>
    </w:p>
    <w:p>
      <w:pPr>
        <w:jc w:val="center"/>
        <w:rPr>
          <w:rFonts w:hint="eastAsia" w:ascii="Times New Roman" w:hAnsi="Times New Roman" w:eastAsia="方正小标宋_GBK" w:cs="Times New Roman"/>
          <w:b/>
          <w:bCs/>
          <w:kern w:val="0"/>
          <w:sz w:val="36"/>
          <w:szCs w:val="36"/>
        </w:rPr>
      </w:pPr>
      <w:r>
        <w:rPr>
          <w:rFonts w:hint="eastAsia" w:ascii="Times New Roman" w:hAnsi="Times New Roman" w:eastAsia="方正小标宋_GBK" w:cs="Times New Roman"/>
          <w:b/>
          <w:bCs/>
          <w:kern w:val="0"/>
          <w:sz w:val="36"/>
          <w:szCs w:val="36"/>
        </w:rPr>
        <w:t>第一部分 部门预算公开说明</w:t>
      </w:r>
    </w:p>
    <w:p>
      <w:pPr>
        <w:ind w:firstLine="643" w:firstLineChars="200"/>
        <w:rPr>
          <w:rFonts w:hint="eastAsia" w:ascii="Times New Roman" w:hAnsi="Times New Roman" w:eastAsia="黑体" w:cs="Times New Roman"/>
          <w:b/>
          <w:bCs/>
          <w:kern w:val="0"/>
          <w:sz w:val="32"/>
          <w:szCs w:val="32"/>
        </w:rPr>
      </w:pPr>
    </w:p>
    <w:p>
      <w:pPr>
        <w:ind w:firstLine="643" w:firstLineChars="200"/>
        <w:rPr>
          <w:rFonts w:hint="eastAsia" w:asciiTheme="minorEastAsia" w:hAnsiTheme="minorEastAsia" w:eastAsiaTheme="minorEastAsia" w:cstheme="minorEastAsia"/>
          <w:b/>
          <w:bCs/>
          <w:sz w:val="28"/>
          <w:szCs w:val="28"/>
        </w:rPr>
      </w:pPr>
      <w:r>
        <w:rPr>
          <w:rFonts w:hint="eastAsia" w:ascii="Times New Roman" w:hAnsi="Times New Roman" w:eastAsia="黑体" w:cs="Times New Roman"/>
          <w:b/>
          <w:bCs/>
          <w:kern w:val="0"/>
          <w:sz w:val="32"/>
          <w:szCs w:val="32"/>
        </w:rPr>
        <w:t>一、</w:t>
      </w:r>
      <w:r>
        <w:rPr>
          <w:rFonts w:hint="eastAsia" w:ascii="Times New Roman" w:hAnsi="Times New Roman" w:eastAsia="黑体" w:cs="Times New Roman"/>
          <w:b/>
          <w:bCs/>
          <w:kern w:val="0"/>
          <w:sz w:val="32"/>
          <w:szCs w:val="32"/>
          <w:lang w:val="en-US" w:eastAsia="zh-CN"/>
        </w:rPr>
        <w:t>部门</w:t>
      </w:r>
      <w:r>
        <w:rPr>
          <w:rFonts w:hint="eastAsia" w:ascii="Times New Roman" w:hAnsi="Times New Roman" w:eastAsia="黑体" w:cs="Times New Roman"/>
          <w:b/>
          <w:bCs/>
          <w:kern w:val="0"/>
          <w:sz w:val="32"/>
          <w:szCs w:val="32"/>
        </w:rPr>
        <w:t>基本概况</w:t>
      </w:r>
    </w:p>
    <w:p>
      <w:pPr>
        <w:spacing w:line="570" w:lineRule="atLeast"/>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（一）职能职责</w:t>
      </w:r>
    </w:p>
    <w:p>
      <w:pPr>
        <w:spacing w:line="570" w:lineRule="atLeast"/>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岳阳市君山区财政事务中心为君山区经济发展和社会事业进步提供财政保障，主要负责区级行政性收费，事业性收费，政府性基金，罚没收入，国有资产管理和国有资源收益，其他非税收入征管。</w:t>
      </w:r>
    </w:p>
    <w:p>
      <w:pPr>
        <w:spacing w:line="570" w:lineRule="atLeast"/>
        <w:ind w:firstLine="643" w:firstLineChars="200"/>
        <w:rPr>
          <w:rFonts w:hint="eastAsia" w:ascii="仿宋_GB2312" w:hAnsi="仿宋_GB2312" w:eastAsia="仿宋_GB2312" w:cs="仿宋_GB2312"/>
          <w:b/>
          <w:bCs/>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（二）机构设置</w:t>
      </w:r>
    </w:p>
    <w:p>
      <w:pPr>
        <w:spacing w:line="570" w:lineRule="atLeast"/>
        <w:ind w:firstLine="640" w:firstLineChars="200"/>
        <w:rPr>
          <w:rFonts w:hint="eastAsia" w:ascii="仿宋_GB2312" w:hAnsi="仿宋_GB2312" w:eastAsia="仿宋_GB2312" w:cs="仿宋_GB2312"/>
          <w:color w:val="000000"/>
          <w:sz w:val="32"/>
          <w:szCs w:val="32"/>
          <w:highlight w:val="none"/>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岳阳市君山区财政事务中心单位内设机构1个:</w:t>
      </w:r>
      <w:r>
        <w:rPr>
          <w:rFonts w:hint="eastAsia" w:ascii="仿宋_GB2312" w:hAnsi="仿宋_GB2312" w:eastAsia="仿宋_GB2312" w:cs="仿宋_GB2312"/>
          <w:color w:val="000000"/>
          <w:sz w:val="32"/>
          <w:szCs w:val="32"/>
          <w:highlight w:val="none"/>
          <w:shd w:val="clear" w:color="auto" w:fill="FFFFFF"/>
          <w:lang w:val="en-US" w:eastAsia="zh-CN"/>
        </w:rPr>
        <w:t>综合办公室</w:t>
      </w:r>
      <w:r>
        <w:rPr>
          <w:rFonts w:hint="eastAsia" w:ascii="仿宋_GB2312" w:hAnsi="仿宋_GB2312" w:eastAsia="仿宋_GB2312" w:cs="仿宋_GB2312"/>
          <w:color w:val="000000"/>
          <w:sz w:val="32"/>
          <w:szCs w:val="32"/>
          <w:shd w:val="clear" w:color="auto" w:fill="FFFFFF"/>
          <w:lang w:val="en-US" w:eastAsia="zh-CN"/>
        </w:rPr>
        <w:t>。</w:t>
      </w:r>
    </w:p>
    <w:p>
      <w:pPr>
        <w:ind w:firstLine="643" w:firstLineChars="200"/>
        <w:rPr>
          <w:rFonts w:hint="eastAsia" w:ascii="Times New Roman" w:hAnsi="Times New Roman" w:eastAsia="黑体" w:cs="Times New Roman"/>
          <w:b/>
          <w:bCs/>
          <w:kern w:val="0"/>
          <w:sz w:val="32"/>
          <w:szCs w:val="32"/>
          <w:highlight w:val="none"/>
          <w:lang w:val="en-US" w:eastAsia="zh-CN"/>
        </w:rPr>
      </w:pPr>
      <w:r>
        <w:rPr>
          <w:rFonts w:hint="eastAsia" w:ascii="Times New Roman" w:hAnsi="Times New Roman" w:eastAsia="黑体" w:cs="Times New Roman"/>
          <w:b/>
          <w:bCs/>
          <w:kern w:val="0"/>
          <w:sz w:val="32"/>
          <w:szCs w:val="32"/>
          <w:highlight w:val="none"/>
          <w:lang w:val="en-US" w:eastAsia="zh-CN"/>
        </w:rPr>
        <w:t>二、部门预算单位构成</w:t>
      </w:r>
    </w:p>
    <w:p>
      <w:pPr>
        <w:spacing w:line="570" w:lineRule="atLeast"/>
        <w:ind w:firstLine="640" w:firstLineChars="200"/>
        <w:rPr>
          <w:rFonts w:hint="eastAsia" w:ascii="仿宋_GB2312" w:hAnsi="仿宋_GB2312" w:eastAsia="仿宋_GB2312" w:cs="仿宋_GB2312"/>
          <w:color w:val="000000"/>
          <w:sz w:val="32"/>
          <w:szCs w:val="32"/>
          <w:highlight w:val="none"/>
          <w:shd w:val="clear" w:color="auto" w:fill="FFFFFF"/>
          <w:lang w:val="en-US" w:eastAsia="zh-CN"/>
        </w:rPr>
      </w:pPr>
      <w:bookmarkStart w:id="0" w:name="DEPT_COMPOSE"/>
      <w:r>
        <w:rPr>
          <w:rFonts w:hint="eastAsia" w:ascii="仿宋_GB2312" w:hAnsi="仿宋_GB2312" w:eastAsia="仿宋_GB2312" w:cs="仿宋_GB2312"/>
          <w:color w:val="000000"/>
          <w:sz w:val="32"/>
          <w:szCs w:val="32"/>
          <w:highlight w:val="none"/>
          <w:shd w:val="clear" w:color="auto" w:fill="FFFFFF"/>
          <w:lang w:val="en-US" w:eastAsia="zh-CN"/>
        </w:rPr>
        <w:t>财政事务中心只有本级，没有其他二级预算单位，因此，纳入2024年部门预算编制范围的只有财政事务中心本级。</w:t>
      </w:r>
      <w:bookmarkEnd w:id="0"/>
    </w:p>
    <w:p>
      <w:pPr>
        <w:ind w:firstLine="643" w:firstLineChars="200"/>
        <w:rPr>
          <w:rFonts w:hint="eastAsia" w:ascii="Times New Roman" w:hAnsi="Times New Roman" w:eastAsia="黑体" w:cs="Times New Roman"/>
          <w:b/>
          <w:bCs/>
          <w:kern w:val="0"/>
          <w:sz w:val="32"/>
          <w:szCs w:val="32"/>
          <w:highlight w:val="none"/>
          <w:lang w:val="en-US" w:eastAsia="zh-CN"/>
        </w:rPr>
      </w:pPr>
      <w:r>
        <w:rPr>
          <w:rFonts w:hint="eastAsia" w:ascii="Times New Roman" w:hAnsi="Times New Roman" w:eastAsia="黑体" w:cs="Times New Roman"/>
          <w:b/>
          <w:bCs/>
          <w:kern w:val="0"/>
          <w:sz w:val="32"/>
          <w:szCs w:val="32"/>
          <w:highlight w:val="none"/>
          <w:lang w:val="en-US" w:eastAsia="zh-CN"/>
        </w:rPr>
        <w:t>三、部门收支总体情况</w:t>
      </w:r>
    </w:p>
    <w:p>
      <w:pPr>
        <w:spacing w:line="570" w:lineRule="atLeast"/>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highlight w:val="none"/>
          <w:shd w:val="clear" w:color="auto" w:fill="FFFFFF"/>
          <w:lang w:val="en-US" w:eastAsia="zh-CN"/>
        </w:rPr>
        <w:t>本单位2024年没有政府性基金预算拨款、国有资本经营预算收入和纳入专户管理的非税收入拨款收入，也没有使用政府性基金预算拨款、国有资本经营预算收入和纳入专户管理的非税收入拨款安排的支出，所以部门预算公开表1</w:t>
      </w:r>
      <w:r>
        <w:rPr>
          <w:rFonts w:hint="eastAsia" w:ascii="仿宋_GB2312" w:hAnsi="仿宋_GB2312" w:eastAsia="仿宋_GB2312" w:cs="仿宋_GB2312"/>
          <w:color w:val="000000"/>
          <w:sz w:val="32"/>
          <w:szCs w:val="32"/>
          <w:shd w:val="clear" w:color="auto" w:fill="FFFFFF"/>
          <w:lang w:val="en-US" w:eastAsia="zh-CN"/>
        </w:rPr>
        <w:t>5、16、17、18、19表均为空。</w:t>
      </w:r>
    </w:p>
    <w:p>
      <w:pPr>
        <w:numPr>
          <w:ilvl w:val="0"/>
          <w:numId w:val="1"/>
        </w:numPr>
        <w:spacing w:line="570" w:lineRule="atLeast"/>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收入预算：</w:t>
      </w:r>
      <w:r>
        <w:rPr>
          <w:rFonts w:hint="eastAsia" w:ascii="仿宋_GB2312" w:hAnsi="仿宋_GB2312" w:eastAsia="仿宋_GB2312" w:cs="仿宋_GB2312"/>
          <w:color w:val="000000"/>
          <w:sz w:val="32"/>
          <w:szCs w:val="32"/>
          <w:shd w:val="clear" w:color="auto" w:fill="FFFFFF"/>
          <w:lang w:val="en-US" w:eastAsia="zh-CN"/>
        </w:rPr>
        <w:t>包括一般公共预算、政府性基金、国有资本经营预算等财政拨款收入，以及经营收入、事业收入等单位资金。2024年本单位收入预算325.77万元，其中，一般公共预算拨款325.77万元，政府性基金预算资金0.00万元(所以</w:t>
      </w:r>
      <w:r>
        <w:rPr>
          <w:rFonts w:hint="eastAsia" w:ascii="仿宋_GB2312" w:hAnsi="仿宋_GB2312" w:eastAsia="仿宋_GB2312" w:cs="仿宋_GB2312"/>
          <w:color w:val="000000"/>
          <w:sz w:val="32"/>
          <w:szCs w:val="32"/>
          <w:highlight w:val="none"/>
          <w:shd w:val="clear" w:color="auto" w:fill="FFFFFF"/>
          <w:lang w:val="en-US" w:eastAsia="zh-CN"/>
        </w:rPr>
        <w:t>部门预算公开表15-17表为空)，国有资本经营预算资金0.00万元(所以部门预算公开表18表为空)，财政专户管理资金0.00万元(所以部门预算公开表19表为</w:t>
      </w:r>
      <w:r>
        <w:rPr>
          <w:rFonts w:hint="eastAsia" w:ascii="仿宋_GB2312" w:hAnsi="仿宋_GB2312" w:eastAsia="仿宋_GB2312" w:cs="仿宋_GB2312"/>
          <w:color w:val="000000"/>
          <w:sz w:val="32"/>
          <w:szCs w:val="32"/>
          <w:shd w:val="clear" w:color="auto" w:fill="FFFFFF"/>
          <w:lang w:val="en-US" w:eastAsia="zh-CN"/>
        </w:rPr>
        <w:t>空)，上级补助收入资金0.00万元，事业单位经营收入资金0.00万元，上年结转结余0.00万元。收入较上年减少38.05万元，下降10.46%。主要原因是上年增加了非税系统改革升级费用，而今年无此项费用，从而导致一般公共预算拨款减少。</w:t>
      </w:r>
    </w:p>
    <w:p>
      <w:pPr>
        <w:pStyle w:val="2"/>
        <w:numPr>
          <w:ilvl w:val="0"/>
          <w:numId w:val="0"/>
        </w:numPr>
        <w:rPr>
          <w:rFonts w:hint="eastAsia"/>
          <w:lang w:val="en-US" w:eastAsia="zh-CN"/>
        </w:rPr>
      </w:pPr>
      <w:r>
        <w:drawing>
          <wp:inline distT="0" distB="0" distL="114300" distR="114300">
            <wp:extent cx="4886325" cy="2667000"/>
            <wp:effectExtent l="6350" t="6350" r="22225" b="12700"/>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pStyle w:val="2"/>
        <w:numPr>
          <w:ilvl w:val="0"/>
          <w:numId w:val="0"/>
        </w:numPr>
        <w:rPr>
          <w:rFonts w:hint="eastAsia"/>
          <w:lang w:val="en-US" w:eastAsia="zh-CN"/>
        </w:rPr>
      </w:pPr>
    </w:p>
    <w:p>
      <w:pPr>
        <w:numPr>
          <w:ilvl w:val="0"/>
          <w:numId w:val="1"/>
        </w:numPr>
        <w:spacing w:line="570" w:lineRule="atLeast"/>
        <w:ind w:left="0" w:leftChars="0"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支出预算：</w:t>
      </w:r>
      <w:r>
        <w:rPr>
          <w:rFonts w:hint="eastAsia" w:ascii="仿宋_GB2312" w:hAnsi="仿宋_GB2312" w:eastAsia="仿宋_GB2312" w:cs="仿宋_GB2312"/>
          <w:color w:val="000000"/>
          <w:sz w:val="32"/>
          <w:szCs w:val="32"/>
          <w:shd w:val="clear" w:color="auto" w:fill="FFFFFF"/>
          <w:lang w:val="en-US" w:eastAsia="zh-CN"/>
        </w:rPr>
        <w:t>2024年本单位支出预算325.77万元，其中：一般公共服务支出301.76万元，社会保障和就业支出11.11万元，卫生健康支出4.75万元，住房保障支出8.15万元。支出较上年或减少38.05万元，下降10.46%。主要原因是上年增加了非税系统改革升级费用，而今年无此项费用，从而导致一般公共服务支出减少。</w:t>
      </w:r>
    </w:p>
    <w:p>
      <w:pPr>
        <w:pStyle w:val="2"/>
        <w:numPr>
          <w:ilvl w:val="0"/>
          <w:numId w:val="0"/>
        </w:numPr>
        <w:rPr>
          <w:rFonts w:hint="eastAsia"/>
          <w:lang w:val="en-US" w:eastAsia="zh-CN"/>
        </w:rPr>
      </w:pPr>
      <w:r>
        <w:rPr>
          <w:rFonts w:hint="eastAsia"/>
          <w:lang w:val="en-US" w:eastAsia="zh-CN"/>
        </w:rPr>
        <w:t xml:space="preserve">       </w:t>
      </w:r>
      <w:r>
        <w:drawing>
          <wp:inline distT="0" distB="0" distL="114300" distR="114300">
            <wp:extent cx="4596765" cy="3001010"/>
            <wp:effectExtent l="4445" t="4445" r="8890" b="23495"/>
            <wp:docPr id="2" name="图表 1" descr="7b0a202020202263686172745265734964223a20223230343735353931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ind w:firstLine="643" w:firstLineChars="200"/>
        <w:rPr>
          <w:rFonts w:hint="eastAsia" w:ascii="Times New Roman" w:hAnsi="Times New Roman" w:eastAsia="黑体" w:cs="Times New Roman"/>
          <w:b/>
          <w:bCs/>
          <w:kern w:val="0"/>
          <w:sz w:val="32"/>
          <w:szCs w:val="32"/>
          <w:lang w:val="en-US" w:eastAsia="zh-CN"/>
        </w:rPr>
      </w:pPr>
      <w:r>
        <w:rPr>
          <w:rFonts w:hint="eastAsia" w:ascii="Times New Roman" w:hAnsi="Times New Roman" w:eastAsia="黑体" w:cs="Times New Roman"/>
          <w:b/>
          <w:bCs/>
          <w:kern w:val="0"/>
          <w:sz w:val="32"/>
          <w:szCs w:val="32"/>
          <w:lang w:val="en-US" w:eastAsia="zh-CN"/>
        </w:rPr>
        <w:t>四、一般公共预算拨款支出</w:t>
      </w:r>
    </w:p>
    <w:p>
      <w:pPr>
        <w:spacing w:line="570" w:lineRule="atLeast"/>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2024年本单位一般公共预算拨款支出325.77万元，其中：一般公共服务支出301.76万元，占92.63%;社会保障和就业支出11.11万元，占3.41%；卫生健康支出4.75万元，占1.46%；住房保障支出8.15万元，占2.5%。具体安排情况如下：</w:t>
      </w:r>
    </w:p>
    <w:p>
      <w:pPr>
        <w:spacing w:line="570" w:lineRule="atLeast"/>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（一）基本支出：</w:t>
      </w:r>
      <w:r>
        <w:rPr>
          <w:rFonts w:hint="eastAsia" w:ascii="仿宋_GB2312" w:hAnsi="仿宋_GB2312" w:eastAsia="仿宋_GB2312" w:cs="仿宋_GB2312"/>
          <w:color w:val="000000"/>
          <w:sz w:val="32"/>
          <w:szCs w:val="32"/>
          <w:shd w:val="clear" w:color="auto" w:fill="FFFFFF"/>
          <w:lang w:val="en-US" w:eastAsia="zh-CN"/>
        </w:rPr>
        <w:t>2024年本单位基本支出预算数103.75万元，主要是为保障单位正常运转、完成日常工作任务而发生的各项支出，包括用于基本工资、津贴补贴等人员经费以及办公费、印刷费、水电费、办公设备购置等公用经费。</w:t>
      </w:r>
    </w:p>
    <w:p>
      <w:pPr>
        <w:spacing w:line="570" w:lineRule="atLeast"/>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（二）项目支出：</w:t>
      </w:r>
      <w:r>
        <w:rPr>
          <w:rFonts w:hint="eastAsia" w:ascii="仿宋_GB2312" w:hAnsi="仿宋_GB2312" w:eastAsia="仿宋_GB2312" w:cs="仿宋_GB2312"/>
          <w:color w:val="000000"/>
          <w:sz w:val="32"/>
          <w:szCs w:val="32"/>
          <w:shd w:val="clear" w:color="auto" w:fill="FFFFFF"/>
          <w:lang w:val="en-US" w:eastAsia="zh-CN"/>
        </w:rPr>
        <w:t>2024年本单位项目支出预算222.02万元，主要是本单位为完成特定工作任务或事业发展目标而发生的支出，包括有关事业发展专项、专项业务费、基本建设支出等，其中：一般公共服务支出222.02万元，主要用于三资运作改革和国资日常管理等方面。</w:t>
      </w:r>
    </w:p>
    <w:p>
      <w:pPr>
        <w:ind w:firstLine="643" w:firstLineChars="200"/>
        <w:rPr>
          <w:rFonts w:hint="eastAsia" w:asciiTheme="minorEastAsia" w:hAnsiTheme="minorEastAsia" w:eastAsiaTheme="minorEastAsia" w:cstheme="minorEastAsia"/>
          <w:b/>
          <w:bCs/>
          <w:sz w:val="28"/>
          <w:szCs w:val="28"/>
        </w:rPr>
      </w:pPr>
      <w:r>
        <w:rPr>
          <w:rFonts w:hint="eastAsia" w:ascii="Times New Roman" w:hAnsi="Times New Roman" w:eastAsia="黑体" w:cs="Times New Roman"/>
          <w:b/>
          <w:bCs/>
          <w:kern w:val="0"/>
          <w:sz w:val="32"/>
          <w:szCs w:val="32"/>
          <w:lang w:val="en-US" w:eastAsia="zh-CN"/>
        </w:rPr>
        <w:t>五、政府性基金预算支出</w:t>
      </w:r>
    </w:p>
    <w:p>
      <w:pPr>
        <w:ind w:firstLine="640" w:firstLineChars="200"/>
        <w:rPr>
          <w:rFonts w:hint="eastAsia" w:asciiTheme="minorEastAsia" w:hAnsiTheme="minorEastAsia" w:eastAsiaTheme="minorEastAsia" w:cstheme="minorEastAsia"/>
          <w:i w:val="0"/>
          <w:iCs w:val="0"/>
          <w:caps w:val="0"/>
          <w:color w:val="333333"/>
          <w:spacing w:val="0"/>
          <w:sz w:val="28"/>
          <w:szCs w:val="28"/>
          <w:shd w:val="clear" w:fill="FFFFFF"/>
        </w:rPr>
      </w:pPr>
      <w:r>
        <w:rPr>
          <w:rFonts w:hint="eastAsia" w:ascii="仿宋_GB2312" w:hAnsi="仿宋_GB2312" w:eastAsia="仿宋_GB2312" w:cs="仿宋_GB2312"/>
          <w:color w:val="000000"/>
          <w:sz w:val="32"/>
          <w:szCs w:val="32"/>
          <w:shd w:val="clear" w:color="auto" w:fill="FFFFFF"/>
          <w:lang w:val="en-US" w:eastAsia="zh-CN"/>
        </w:rPr>
        <w:t>2024年度本单位无政府性基金安排的支出，所以公开的附件15-17（政府性基金预算）为空。</w:t>
      </w:r>
    </w:p>
    <w:p>
      <w:pPr>
        <w:ind w:firstLine="643" w:firstLineChars="200"/>
        <w:rPr>
          <w:rFonts w:hint="eastAsia" w:asciiTheme="minorEastAsia" w:hAnsiTheme="minorEastAsia" w:eastAsiaTheme="minorEastAsia" w:cstheme="minorEastAsia"/>
          <w:b/>
          <w:bCs/>
          <w:sz w:val="28"/>
          <w:szCs w:val="28"/>
        </w:rPr>
      </w:pPr>
      <w:r>
        <w:rPr>
          <w:rFonts w:hint="eastAsia" w:ascii="Times New Roman" w:hAnsi="Times New Roman" w:eastAsia="黑体" w:cs="Times New Roman"/>
          <w:b/>
          <w:bCs/>
          <w:kern w:val="0"/>
          <w:sz w:val="32"/>
          <w:szCs w:val="32"/>
          <w:lang w:val="en-US" w:eastAsia="zh-CN"/>
        </w:rPr>
        <w:t>六、其他重要事项的情况说明</w:t>
      </w:r>
    </w:p>
    <w:p>
      <w:pPr>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（一）机关运行经费：</w:t>
      </w:r>
      <w:r>
        <w:rPr>
          <w:rFonts w:hint="eastAsia" w:ascii="仿宋_GB2312" w:hAnsi="仿宋_GB2312" w:eastAsia="仿宋_GB2312" w:cs="仿宋_GB2312"/>
          <w:color w:val="000000"/>
          <w:sz w:val="32"/>
          <w:szCs w:val="32"/>
          <w:shd w:val="clear" w:color="auto" w:fill="FFFFFF"/>
          <w:lang w:val="en-US" w:eastAsia="zh-CN"/>
        </w:rPr>
        <w:t>2024年岳阳市君山区财政事务中心机关运行经费11.82万元，比上年预算上升0.42%。主要原因</w:t>
      </w:r>
      <w:r>
        <w:rPr>
          <w:rFonts w:hint="eastAsia" w:ascii="仿宋_GB2312" w:hAnsi="仿宋_GB2312" w:eastAsia="仿宋_GB2312" w:cs="仿宋_GB2312"/>
          <w:color w:val="000000"/>
          <w:sz w:val="32"/>
          <w:szCs w:val="32"/>
          <w:highlight w:val="none"/>
          <w:shd w:val="clear" w:color="auto" w:fill="FFFFFF"/>
          <w:lang w:val="en-US" w:eastAsia="zh-CN"/>
        </w:rPr>
        <w:t>是2024年财政事务中心人员增加造</w:t>
      </w:r>
      <w:r>
        <w:rPr>
          <w:rFonts w:hint="eastAsia" w:ascii="仿宋_GB2312" w:hAnsi="仿宋_GB2312" w:eastAsia="仿宋_GB2312" w:cs="仿宋_GB2312"/>
          <w:color w:val="000000"/>
          <w:sz w:val="32"/>
          <w:szCs w:val="32"/>
          <w:shd w:val="clear" w:color="auto" w:fill="FFFFFF"/>
          <w:lang w:val="en-US" w:eastAsia="zh-CN"/>
        </w:rPr>
        <w:t>成公用经费预算增加。</w:t>
      </w:r>
    </w:p>
    <w:p>
      <w:pPr>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（二）“三公”经费预算：</w:t>
      </w:r>
      <w:r>
        <w:rPr>
          <w:rFonts w:hint="eastAsia" w:ascii="仿宋_GB2312" w:hAnsi="仿宋_GB2312" w:eastAsia="仿宋_GB2312" w:cs="仿宋_GB2312"/>
          <w:color w:val="000000"/>
          <w:sz w:val="32"/>
          <w:szCs w:val="32"/>
          <w:shd w:val="clear" w:color="auto" w:fill="FFFFFF"/>
          <w:lang w:val="en-US" w:eastAsia="zh-CN"/>
        </w:rPr>
        <w:t>2024年本单位“三公”经费预算数为0.5万元，其中，公务接待费0.5万元，公务用车购置及运行费0万元（其中，公务用车购置费0万元，公务用车运行费0万元），因公出国（境）费0万元。2024年“三公”经费预算较2023年减少0.34万元，主要原因是主要是严格落实中央“八项规定”精神和“过紧日子”的要求，从严控制“三公”经费支出。</w:t>
      </w:r>
      <w:bookmarkStart w:id="1" w:name="START_IS_ZERO_06_2"/>
      <w:bookmarkEnd w:id="1"/>
      <w:bookmarkStart w:id="2" w:name="DIS_MARK_IS_ZERO_06_2"/>
      <w:bookmarkEnd w:id="2"/>
      <w:bookmarkStart w:id="3" w:name="END_IS_ZERO_06_1"/>
      <w:bookmarkEnd w:id="3"/>
      <w:bookmarkStart w:id="4" w:name="END_IS_ZERO_06_2"/>
      <w:bookmarkEnd w:id="4"/>
    </w:p>
    <w:p>
      <w:pPr>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（三）一般性支出情况：</w:t>
      </w:r>
      <w:r>
        <w:rPr>
          <w:rFonts w:hint="eastAsia" w:ascii="仿宋_GB2312" w:hAnsi="仿宋_GB2312" w:eastAsia="仿宋_GB2312" w:cs="仿宋_GB2312"/>
          <w:color w:val="000000"/>
          <w:sz w:val="32"/>
          <w:szCs w:val="32"/>
          <w:shd w:val="clear" w:color="auto" w:fill="FFFFFF"/>
          <w:lang w:val="en-US" w:eastAsia="zh-CN"/>
        </w:rPr>
        <w:t>2024年本单位会议费预算1.14万元，拟召开三资运作改革等5次会议，人数50人，内容为会场租赁、会议资料和其他杂费等；培训费预算0万元，拟召开0次培训，人数0人；</w:t>
      </w:r>
      <w:r>
        <w:rPr>
          <w:rFonts w:hint="eastAsia" w:ascii="仿宋_GB2312" w:hAnsi="仿宋_GB2312" w:eastAsia="仿宋_GB2312" w:cs="仿宋_GB2312"/>
          <w:color w:val="000000"/>
          <w:kern w:val="2"/>
          <w:sz w:val="32"/>
          <w:szCs w:val="32"/>
          <w:shd w:val="clear" w:color="auto" w:fill="FFFFFF"/>
          <w:lang w:val="en-US" w:eastAsia="zh-CN" w:bidi="ar-SA"/>
        </w:rPr>
        <w:t>2024年度本</w:t>
      </w:r>
      <w:r>
        <w:rPr>
          <w:rFonts w:hint="eastAsia" w:ascii="仿宋_GB2312" w:hAnsi="仿宋_GB2312" w:eastAsia="仿宋_GB2312" w:cs="仿宋_GB2312"/>
          <w:color w:val="000000"/>
          <w:kern w:val="2"/>
          <w:sz w:val="36"/>
          <w:szCs w:val="36"/>
          <w:shd w:val="clear" w:color="auto" w:fill="FFFFFF"/>
          <w:lang w:val="en-US" w:eastAsia="zh-CN" w:bidi="ar-SA"/>
        </w:rPr>
        <w:t>部门</w:t>
      </w:r>
      <w:r>
        <w:rPr>
          <w:rFonts w:hint="eastAsia" w:ascii="仿宋_GB2312" w:hAnsi="仿宋_GB2312" w:eastAsia="仿宋_GB2312" w:cs="仿宋_GB2312"/>
          <w:color w:val="000000"/>
          <w:kern w:val="2"/>
          <w:sz w:val="32"/>
          <w:szCs w:val="32"/>
          <w:shd w:val="clear" w:color="auto" w:fill="FFFFFF"/>
          <w:lang w:val="en-US" w:eastAsia="zh-CN" w:bidi="ar-SA"/>
        </w:rPr>
        <w:t>未计划举办节庆、晚会、论坛、赛事活动，经费预算0万元。</w:t>
      </w:r>
    </w:p>
    <w:p>
      <w:pPr>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（四）政府采购情况：</w:t>
      </w:r>
      <w:r>
        <w:rPr>
          <w:rFonts w:hint="eastAsia" w:ascii="仿宋_GB2312" w:hAnsi="仿宋_GB2312" w:eastAsia="仿宋_GB2312" w:cs="仿宋_GB2312"/>
          <w:color w:val="000000"/>
          <w:sz w:val="32"/>
          <w:szCs w:val="32"/>
          <w:shd w:val="clear" w:color="auto" w:fill="FFFFFF"/>
          <w:lang w:val="en-US" w:eastAsia="zh-CN"/>
        </w:rPr>
        <w:t>2024年本单位政府采购预算总额60万元，其中，货物类采购预算10万元；工程类采购预算0万元；服务类采购预算50万元。</w:t>
      </w:r>
    </w:p>
    <w:p>
      <w:pPr>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（五）国有资产占用使用及新增资产配置情况：</w:t>
      </w:r>
      <w:r>
        <w:rPr>
          <w:rFonts w:hint="eastAsia" w:ascii="仿宋_GB2312" w:hAnsi="仿宋_GB2312" w:eastAsia="仿宋_GB2312" w:cs="仿宋_GB2312"/>
          <w:color w:val="000000"/>
          <w:sz w:val="32"/>
          <w:szCs w:val="32"/>
          <w:shd w:val="clear" w:color="auto" w:fill="FFFFFF"/>
          <w:lang w:val="en-US" w:eastAsia="zh-CN"/>
        </w:rPr>
        <w:t>截至2023年12月底，本单位共有公务用车0辆，其中，机要通信用车0辆，应急保障用车0辆，执法执勤用车0辆，特种专业技术用车0辆，其他按照规定配备的公务用车0辆；单位价值50万元以上设备0台，其中，单位价值100万元以上设备0台。</w:t>
      </w:r>
    </w:p>
    <w:p>
      <w:pPr>
        <w:ind w:firstLine="640" w:firstLineChars="200"/>
        <w:rPr>
          <w:rFonts w:hint="eastAsia" w:ascii="仿宋_GB2312" w:hAnsi="仿宋_GB2312" w:eastAsia="仿宋_GB2312" w:cs="仿宋_GB2312"/>
          <w:color w:val="000000"/>
          <w:sz w:val="32"/>
          <w:szCs w:val="32"/>
          <w:highlight w:val="none"/>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2024年拟新增配置公务用车0辆，其中，机要通信用车0辆，应急保障用车0辆，执法执勤</w:t>
      </w:r>
      <w:r>
        <w:rPr>
          <w:rFonts w:hint="eastAsia" w:ascii="仿宋_GB2312" w:hAnsi="仿宋_GB2312" w:eastAsia="仿宋_GB2312" w:cs="仿宋_GB2312"/>
          <w:color w:val="000000"/>
          <w:sz w:val="32"/>
          <w:szCs w:val="32"/>
          <w:highlight w:val="none"/>
          <w:shd w:val="clear" w:color="auto" w:fill="FFFFFF"/>
          <w:lang w:val="en-US" w:eastAsia="zh-CN"/>
        </w:rPr>
        <w:t>用车0辆，特种专业技术用车0辆，其他按照规定配备的公务用车0辆；新增配备单位价值50万元以上设备0台，其中，单位价值100万元以上设备0台。</w:t>
      </w:r>
    </w:p>
    <w:p>
      <w:pPr>
        <w:ind w:firstLine="643" w:firstLineChars="200"/>
        <w:rPr>
          <w:rFonts w:hint="eastAsia" w:ascii="仿宋_GB2312" w:hAnsi="仿宋_GB2312" w:eastAsia="仿宋_GB2312" w:cs="仿宋_GB2312"/>
          <w:color w:val="000000"/>
          <w:sz w:val="32"/>
          <w:szCs w:val="32"/>
          <w:highlight w:val="none"/>
          <w:shd w:val="clear" w:color="auto" w:fill="FFFFFF"/>
          <w:lang w:val="en-US" w:eastAsia="zh-CN"/>
        </w:rPr>
      </w:pPr>
      <w:r>
        <w:rPr>
          <w:rFonts w:hint="eastAsia" w:ascii="仿宋_GB2312" w:hAnsi="仿宋_GB2312" w:eastAsia="仿宋_GB2312" w:cs="仿宋_GB2312"/>
          <w:b/>
          <w:bCs/>
          <w:color w:val="000000"/>
          <w:sz w:val="32"/>
          <w:szCs w:val="32"/>
          <w:highlight w:val="none"/>
          <w:shd w:val="clear" w:color="auto" w:fill="FFFFFF"/>
          <w:lang w:val="en-US" w:eastAsia="zh-CN"/>
        </w:rPr>
        <w:t>（六）预算绩效目标说明：</w:t>
      </w:r>
      <w:r>
        <w:rPr>
          <w:rFonts w:hint="eastAsia" w:ascii="仿宋_GB2312" w:hAnsi="仿宋_GB2312" w:eastAsia="仿宋_GB2312" w:cs="仿宋_GB2312"/>
          <w:color w:val="000000"/>
          <w:sz w:val="32"/>
          <w:szCs w:val="32"/>
          <w:highlight w:val="none"/>
          <w:shd w:val="clear" w:color="auto" w:fill="FFFFFF"/>
          <w:lang w:val="en-US" w:eastAsia="zh-CN"/>
        </w:rPr>
        <w:t>本单位所有支出实行绩效目标管理。纳入2024年单位整体支出绩效目标的金额为325.77万元，其中，基本支出103.75万元，项目支出222.02万元，具体绩效目标详见文尾附表中部门预算公开表21-22表。</w:t>
      </w:r>
    </w:p>
    <w:p>
      <w:pPr>
        <w:ind w:firstLine="643" w:firstLineChars="200"/>
        <w:rPr>
          <w:rFonts w:hint="eastAsia" w:ascii="Times New Roman" w:hAnsi="Times New Roman" w:eastAsia="黑体" w:cs="Times New Roman"/>
          <w:b/>
          <w:bCs/>
          <w:kern w:val="0"/>
          <w:sz w:val="32"/>
          <w:szCs w:val="32"/>
          <w:lang w:val="en-US" w:eastAsia="zh-CN"/>
        </w:rPr>
      </w:pPr>
      <w:r>
        <w:rPr>
          <w:rFonts w:hint="eastAsia" w:ascii="Times New Roman" w:hAnsi="Times New Roman" w:eastAsia="黑体" w:cs="Times New Roman"/>
          <w:b/>
          <w:bCs/>
          <w:kern w:val="0"/>
          <w:sz w:val="32"/>
          <w:szCs w:val="32"/>
          <w:lang w:val="en-US" w:eastAsia="zh-CN"/>
        </w:rPr>
        <w:t>七、名词解释</w:t>
      </w:r>
    </w:p>
    <w:p>
      <w:pPr>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1．机关运行经费：</w:t>
      </w:r>
      <w:r>
        <w:rPr>
          <w:rFonts w:hint="eastAsia" w:ascii="仿宋_GB2312" w:hAnsi="仿宋_GB2312" w:eastAsia="仿宋_GB2312" w:cs="仿宋_GB2312"/>
          <w:color w:val="000000"/>
          <w:sz w:val="32"/>
          <w:szCs w:val="32"/>
          <w:shd w:val="clear" w:color="auto" w:fill="FFFFFF"/>
          <w:lang w:val="en-US" w:eastAsia="zh-CN"/>
        </w:rPr>
        <w:t>是指各部门的公用经费，包括办公及印刷费、邮电费、差旅费、会议费、福利费、日常维修费、专用资料及一般设备购置费、办公用房水电费、办公用房取暖费、办公用房物业管理费、公务用车运行维护费以及其他费用。</w:t>
      </w:r>
    </w:p>
    <w:p>
      <w:pPr>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2．“三公”经费：</w:t>
      </w:r>
      <w:r>
        <w:rPr>
          <w:rFonts w:hint="eastAsia" w:ascii="仿宋_GB2312" w:hAnsi="仿宋_GB2312" w:eastAsia="仿宋_GB2312" w:cs="仿宋_GB2312"/>
          <w:color w:val="000000"/>
          <w:sz w:val="32"/>
          <w:szCs w:val="32"/>
          <w:shd w:val="clear" w:color="auto" w:fill="FFFFFF"/>
          <w:lang w:val="en-US" w:eastAsia="zh-CN"/>
        </w:rPr>
        <w:t>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jc w:val="center"/>
        <w:textAlignment w:val="center"/>
        <w:rPr>
          <w:rFonts w:hint="eastAsia" w:ascii="方正小标宋简体" w:hAnsi="Times New Roman" w:eastAsia="方正小标宋简体" w:cs="Times New Roman"/>
          <w:b/>
          <w:bCs/>
          <w:kern w:val="0"/>
          <w:sz w:val="36"/>
          <w:szCs w:val="36"/>
          <w:lang w:val="en-US" w:eastAsia="zh-CN" w:bidi="ar-SA"/>
        </w:rPr>
      </w:pPr>
      <w:bookmarkStart w:id="5" w:name="_GoBack"/>
      <w:bookmarkEnd w:id="5"/>
      <w:r>
        <w:rPr>
          <w:rFonts w:hint="eastAsia" w:ascii="方正小标宋简体" w:hAnsi="Times New Roman" w:eastAsia="方正小标宋简体" w:cs="Times New Roman"/>
          <w:b/>
          <w:bCs/>
          <w:kern w:val="0"/>
          <w:sz w:val="36"/>
          <w:szCs w:val="36"/>
          <w:lang w:val="en-US" w:eastAsia="zh-CN" w:bidi="ar-SA"/>
        </w:rPr>
        <w:t>第二部分  2024年部门预算公开表格</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1、收支总表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2、收入总表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3、支出总表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4、支出预算分类汇总表（按政府预算经济分类）</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5、支出预算分类汇总表（按部门预算经济分类）</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6、财政拨款收支总表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7、一般公共预算支出表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8、一般公共预算基本支出表-人员经费（工资福利支出）（按政府预算经济分类）</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9、一般公共预算基本支出表-人员经费（工资福利支出）（按部门预算经济分类）</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10、一般公共预算基本支出表-人员经费（对个人和家庭的补助）（按政府预算经济分类）</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11、一般公共预算基本支出表-人员经费（对个人和家庭的补助）（按部门预算经济分类）</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12、一般公共预算基本支出表-公用经费（商品和服务支出）（按政府预算经济分类）</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13、一般公共预算基本支出表-公用经费（商品和服务支出）（按部门预算经济分类）</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14、一般公共预算“三公”经费支出表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15、政府性基金预算支出表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16、政府性基金预算支出分类汇总表（按政府预算经济分类）</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17、政府性基金预算支出分类汇总表（按部门预算经济分类）</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18、国有资本经营预算支出表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19、财政专户管理资金预算支出表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20、专项资金预算汇总表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21、项目支出绩效目标表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22、部门整体支出绩效目标表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23、一般公共预算基本支出表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注：以上部门预算公开报表中，空表表示本单位无相关收支情况。</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p>
    <w:p>
      <w:pPr>
        <w:ind w:firstLine="643" w:firstLineChars="200"/>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b/>
          <w:bCs/>
          <w:color w:val="000000"/>
          <w:sz w:val="32"/>
          <w:szCs w:val="32"/>
          <w:shd w:val="clear" w:color="auto" w:fill="FFFFFF"/>
          <w:lang w:val="en-US" w:eastAsia="zh-CN"/>
        </w:rPr>
        <w:t>附件：岳阳市君山区财政事务中心2024年部门预算公开表</w:t>
      </w:r>
    </w:p>
    <w:p>
      <w:pPr>
        <w:ind w:firstLine="640" w:firstLineChars="200"/>
        <w:rPr>
          <w:rFonts w:hint="eastAsia" w:ascii="仿宋_GB2312" w:hAnsi="仿宋_GB2312" w:eastAsia="仿宋_GB2312" w:cs="仿宋_GB2312"/>
          <w:color w:val="000000"/>
          <w:sz w:val="32"/>
          <w:szCs w:val="32"/>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10601030101010101"/>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CC3CBB"/>
    <w:multiLevelType w:val="singleLevel"/>
    <w:tmpl w:val="57CC3CB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0MzkxYTllNGUzYWMwZmMyNjFiNTViYzNiYzdlYTAifQ=="/>
  </w:docVars>
  <w:rsids>
    <w:rsidRoot w:val="637274E6"/>
    <w:rsid w:val="01EC3E90"/>
    <w:rsid w:val="02140C7A"/>
    <w:rsid w:val="046523F8"/>
    <w:rsid w:val="077770C8"/>
    <w:rsid w:val="088363E7"/>
    <w:rsid w:val="0AD8381E"/>
    <w:rsid w:val="0B172D74"/>
    <w:rsid w:val="0B5218A1"/>
    <w:rsid w:val="0B653E82"/>
    <w:rsid w:val="0BF978D5"/>
    <w:rsid w:val="0E042561"/>
    <w:rsid w:val="0F2A3A2C"/>
    <w:rsid w:val="10797237"/>
    <w:rsid w:val="139E4866"/>
    <w:rsid w:val="15D327C0"/>
    <w:rsid w:val="16042156"/>
    <w:rsid w:val="16247C45"/>
    <w:rsid w:val="167C1082"/>
    <w:rsid w:val="186C56F3"/>
    <w:rsid w:val="18B5797C"/>
    <w:rsid w:val="18E70722"/>
    <w:rsid w:val="192632E6"/>
    <w:rsid w:val="1B6F1962"/>
    <w:rsid w:val="1C56062F"/>
    <w:rsid w:val="1C744CBF"/>
    <w:rsid w:val="1C914169"/>
    <w:rsid w:val="1F572E39"/>
    <w:rsid w:val="1F8154A2"/>
    <w:rsid w:val="20034AD4"/>
    <w:rsid w:val="226668DD"/>
    <w:rsid w:val="22767EB0"/>
    <w:rsid w:val="22861ED8"/>
    <w:rsid w:val="270F3FF9"/>
    <w:rsid w:val="27562CA6"/>
    <w:rsid w:val="286F1B1C"/>
    <w:rsid w:val="28D728F5"/>
    <w:rsid w:val="2A5727A7"/>
    <w:rsid w:val="2B1278C9"/>
    <w:rsid w:val="2B3247EE"/>
    <w:rsid w:val="2C820429"/>
    <w:rsid w:val="2DC518B5"/>
    <w:rsid w:val="2E9372BE"/>
    <w:rsid w:val="30F54535"/>
    <w:rsid w:val="328F1D91"/>
    <w:rsid w:val="36214EDF"/>
    <w:rsid w:val="395E7E49"/>
    <w:rsid w:val="398C704B"/>
    <w:rsid w:val="3A486D41"/>
    <w:rsid w:val="3CB10683"/>
    <w:rsid w:val="3E4B1963"/>
    <w:rsid w:val="40731651"/>
    <w:rsid w:val="40BA4B7E"/>
    <w:rsid w:val="429D1E53"/>
    <w:rsid w:val="42E3660E"/>
    <w:rsid w:val="4601059C"/>
    <w:rsid w:val="4602087F"/>
    <w:rsid w:val="4748485A"/>
    <w:rsid w:val="4AFC64BF"/>
    <w:rsid w:val="4BB0344C"/>
    <w:rsid w:val="4BBE358A"/>
    <w:rsid w:val="4E514D65"/>
    <w:rsid w:val="4EE728E7"/>
    <w:rsid w:val="4F0307B2"/>
    <w:rsid w:val="4F302902"/>
    <w:rsid w:val="52077AEA"/>
    <w:rsid w:val="551748C2"/>
    <w:rsid w:val="55E76771"/>
    <w:rsid w:val="57E53096"/>
    <w:rsid w:val="58AA6296"/>
    <w:rsid w:val="58AF2EC0"/>
    <w:rsid w:val="5A13112F"/>
    <w:rsid w:val="5BC30933"/>
    <w:rsid w:val="5DC12353"/>
    <w:rsid w:val="60B42209"/>
    <w:rsid w:val="633D6AD3"/>
    <w:rsid w:val="63671C3F"/>
    <w:rsid w:val="637274E6"/>
    <w:rsid w:val="63E65795"/>
    <w:rsid w:val="648A0D60"/>
    <w:rsid w:val="64E27258"/>
    <w:rsid w:val="65B57FA7"/>
    <w:rsid w:val="66634077"/>
    <w:rsid w:val="675A13CF"/>
    <w:rsid w:val="682C3048"/>
    <w:rsid w:val="69B646BF"/>
    <w:rsid w:val="6B1B73BC"/>
    <w:rsid w:val="6F4B168B"/>
    <w:rsid w:val="70F118E0"/>
    <w:rsid w:val="71704C61"/>
    <w:rsid w:val="719F6C19"/>
    <w:rsid w:val="78CC0C1A"/>
    <w:rsid w:val="7AE949AB"/>
    <w:rsid w:val="7D266D66"/>
    <w:rsid w:val="7E7E59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Book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5910;&#20837;&#39044;&#31639;&#22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baseline="0">
                <a:solidFill>
                  <a:schemeClr val="tx1"/>
                </a:solidFill>
                <a:latin typeface="+mn-lt"/>
                <a:ea typeface="+mn-ea"/>
                <a:cs typeface="+mn-cs"/>
              </a:defRPr>
            </a:pPr>
            <a:r>
              <a:t>收入预算图</a:t>
            </a:r>
          </a:p>
        </c:rich>
      </c:tx>
      <c:layout/>
      <c:overlay val="0"/>
    </c:title>
    <c:autoTitleDeleted val="0"/>
    <c:plotArea>
      <c:layout/>
      <c:pieChart>
        <c:varyColors val="1"/>
        <c:ser>
          <c:idx val="0"/>
          <c:order val="0"/>
          <c:explosion val="0"/>
          <c:dPt>
            <c:idx val="0"/>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[Book1.xlsx]Sheet1!$A$6</c:f>
              <c:strCache>
                <c:ptCount val="1"/>
                <c:pt idx="0">
                  <c:v>一般公共预算拨款收入</c:v>
                </c:pt>
              </c:strCache>
            </c:strRef>
          </c:cat>
          <c:val>
            <c:numRef>
              <c:f>[Book1.xlsx]Sheet1!$A$7</c:f>
              <c:numCache>
                <c:formatCode>0%</c:formatCode>
                <c:ptCount val="1"/>
                <c:pt idx="0">
                  <c:v>1</c:v>
                </c:pt>
              </c:numCache>
            </c:numRef>
          </c:val>
        </c:ser>
        <c:dLbls>
          <c:showLegendKey val="0"/>
          <c:showVal val="1"/>
          <c:showCatName val="0"/>
          <c:showSerName val="0"/>
          <c:showPercent val="0"/>
          <c:showBubbleSize val="0"/>
          <c:showLeaderLines val="1"/>
        </c:dLbls>
        <c:firstSliceAng val="0"/>
      </c:pieChart>
    </c:plotArea>
    <c:legend>
      <c:legendPos val="r"/>
      <c:layout>
        <c:manualLayout>
          <c:xMode val="edge"/>
          <c:yMode val="edge"/>
          <c:x val="0.700737532808399"/>
          <c:y val="0.0547878390201225"/>
          <c:w val="0.236068022747157"/>
          <c:h val="0.307090988626422"/>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1" i="0" u="none" strike="noStrike" kern="1200" baseline="0">
                <a:solidFill>
                  <a:schemeClr val="dk1">
                    <a:lumMod val="75000"/>
                    <a:lumOff val="25000"/>
                  </a:schemeClr>
                </a:solidFill>
                <a:latin typeface="+mn-lt"/>
                <a:ea typeface="+mn-ea"/>
                <a:cs typeface="+mn-cs"/>
              </a:defRPr>
            </a:pPr>
            <a:r>
              <a:t>支出预算图</a:t>
            </a:r>
          </a:p>
        </c:rich>
      </c:tx>
      <c:layout/>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manualLayout>
          <c:layoutTarget val="inner"/>
          <c:xMode val="edge"/>
          <c:yMode val="edge"/>
          <c:x val="0.115753557121149"/>
          <c:y val="0.375044435040203"/>
          <c:w val="0.826511949164249"/>
          <c:h val="0.612797291578502"/>
        </c:manualLayout>
      </c:layout>
      <c:pie3DChart>
        <c:varyColors val="1"/>
        <c:ser>
          <c:idx val="0"/>
          <c:order val="0"/>
          <c:spPr>
            <a:scene3d>
              <a:camera prst="orthographicFront"/>
              <a:lightRig rig="threePt" dir="t"/>
            </a:scene3d>
            <a:sp3d contourW="9525"/>
          </c:spPr>
          <c:explosion val="0"/>
          <c:dPt>
            <c:idx val="0"/>
            <c:bubble3D val="0"/>
            <c:spPr>
              <a:gradFill>
                <a:gsLst>
                  <a:gs pos="100000">
                    <a:schemeClr val="accent1"/>
                  </a:gs>
                  <a:gs pos="0">
                    <a:schemeClr val="accent1">
                      <a:hueOff val="-1670000"/>
                    </a:schemeClr>
                  </a:gs>
                </a:gsLst>
                <a:lin ang="5400000" scaled="0"/>
              </a:gradFill>
              <a:ln>
                <a:gradFill>
                  <a:gsLst>
                    <a:gs pos="100000">
                      <a:schemeClr val="accent1">
                        <a:lumMod val="75000"/>
                      </a:schemeClr>
                    </a:gs>
                    <a:gs pos="0">
                      <a:schemeClr val="accent1">
                        <a:lumMod val="75000"/>
                        <a:hueOff val="-1670000"/>
                      </a:schemeClr>
                    </a:gs>
                  </a:gsLst>
                  <a:lin ang="4620000" scaled="0"/>
                </a:gradFill>
              </a:ln>
              <a:effectLst/>
            </c:spPr>
          </c:dPt>
          <c:dPt>
            <c:idx val="1"/>
            <c:bubble3D val="0"/>
            <c:spPr>
              <a:gradFill>
                <a:gsLst>
                  <a:gs pos="100000">
                    <a:schemeClr val="accent2"/>
                  </a:gs>
                  <a:gs pos="0">
                    <a:schemeClr val="accent2">
                      <a:hueOff val="-1670000"/>
                    </a:schemeClr>
                  </a:gs>
                </a:gsLst>
                <a:lin ang="5400000" scaled="0"/>
              </a:gradFill>
              <a:ln>
                <a:gradFill>
                  <a:gsLst>
                    <a:gs pos="100000">
                      <a:schemeClr val="accent2">
                        <a:lumMod val="75000"/>
                      </a:schemeClr>
                    </a:gs>
                    <a:gs pos="0">
                      <a:schemeClr val="accent2">
                        <a:lumMod val="75000"/>
                        <a:hueOff val="-1670000"/>
                      </a:schemeClr>
                    </a:gs>
                  </a:gsLst>
                  <a:lin ang="4620000" scaled="0"/>
                </a:gradFill>
              </a:ln>
              <a:effectLst/>
            </c:spPr>
          </c:dPt>
          <c:dPt>
            <c:idx val="2"/>
            <c:bubble3D val="0"/>
            <c:spPr>
              <a:gradFill>
                <a:gsLst>
                  <a:gs pos="100000">
                    <a:schemeClr val="accent3"/>
                  </a:gs>
                  <a:gs pos="0">
                    <a:schemeClr val="accent3">
                      <a:hueOff val="-1670000"/>
                    </a:schemeClr>
                  </a:gs>
                </a:gsLst>
                <a:lin ang="5400000" scaled="0"/>
              </a:gradFill>
              <a:ln>
                <a:gradFill>
                  <a:gsLst>
                    <a:gs pos="100000">
                      <a:schemeClr val="accent3">
                        <a:lumMod val="75000"/>
                      </a:schemeClr>
                    </a:gs>
                    <a:gs pos="0">
                      <a:schemeClr val="accent3">
                        <a:lumMod val="75000"/>
                        <a:hueOff val="-1670000"/>
                      </a:schemeClr>
                    </a:gs>
                  </a:gsLst>
                  <a:lin ang="4620000" scaled="0"/>
                </a:gradFill>
              </a:ln>
              <a:effectLst/>
            </c:spPr>
          </c:dPt>
          <c:dPt>
            <c:idx val="3"/>
            <c:bubble3D val="0"/>
            <c:spPr>
              <a:gradFill>
                <a:gsLst>
                  <a:gs pos="100000">
                    <a:schemeClr val="accent4"/>
                  </a:gs>
                  <a:gs pos="0">
                    <a:schemeClr val="accent4">
                      <a:hueOff val="-1670000"/>
                    </a:schemeClr>
                  </a:gs>
                </a:gsLst>
                <a:lin ang="5400000" scaled="0"/>
              </a:gradFill>
              <a:ln>
                <a:gradFill>
                  <a:gsLst>
                    <a:gs pos="100000">
                      <a:schemeClr val="accent4">
                        <a:lumMod val="75000"/>
                      </a:schemeClr>
                    </a:gs>
                    <a:gs pos="0">
                      <a:schemeClr val="accent4">
                        <a:lumMod val="75000"/>
                        <a:hueOff val="-1670000"/>
                      </a:schemeClr>
                    </a:gs>
                  </a:gsLst>
                  <a:lin ang="4620000" scaled="0"/>
                </a:gradFill>
              </a:ln>
              <a:effectLst/>
            </c:spPr>
          </c:dPt>
          <c:dPt>
            <c:idx val="4"/>
            <c:bubble3D val="0"/>
            <c:spPr>
              <a:gradFill>
                <a:gsLst>
                  <a:gs pos="100000">
                    <a:schemeClr val="accent5"/>
                  </a:gs>
                  <a:gs pos="0">
                    <a:schemeClr val="accent5">
                      <a:hueOff val="-1670000"/>
                    </a:schemeClr>
                  </a:gs>
                </a:gsLst>
                <a:lin ang="5400000" scaled="0"/>
              </a:gradFill>
              <a:ln>
                <a:gradFill>
                  <a:gsLst>
                    <a:gs pos="100000">
                      <a:schemeClr val="accent5">
                        <a:lumMod val="75000"/>
                      </a:schemeClr>
                    </a:gs>
                    <a:gs pos="0">
                      <a:schemeClr val="accent5">
                        <a:lumMod val="75000"/>
                        <a:hueOff val="-1670000"/>
                      </a:schemeClr>
                    </a:gs>
                  </a:gsLst>
                  <a:lin ang="4620000" scaled="0"/>
                </a:gradFill>
              </a:ln>
              <a:effectLst/>
              <a:scene3d>
                <a:camera prst="orthographicFront"/>
                <a:lightRig rig="threePt" dir="t"/>
              </a:scene3d>
              <a:sp3d contourW="9525"/>
            </c:spPr>
          </c:dPt>
          <c:dLbls>
            <c:dLbl>
              <c:idx val="0"/>
              <c:layout>
                <c:manualLayout>
                  <c:x val="-0.04247704510012"/>
                  <c:y val="-0.0260843754663788"/>
                </c:manualLayout>
              </c:layout>
              <c:numFmt formatCode="0.00%" sourceLinked="0"/>
              <c:spPr>
                <a:solidFill>
                  <a:sysClr val="window" lastClr="FFFFFF"/>
                </a:solidFill>
                <a:ln>
                  <a:solidFill>
                    <a:sysClr val="windowText" lastClr="000000">
                      <a:lumMod val="65000"/>
                      <a:lumOff val="35000"/>
                    </a:sysClr>
                  </a:solid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lumMod val="75000"/>
                          <a:lumOff val="25000"/>
                        </a:schemeClr>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92287838975576"/>
                  <c:y val="0.0165572784738961"/>
                </c:manualLayout>
              </c:layout>
              <c:numFmt formatCode="0.00%" sourceLinked="0"/>
              <c:spPr>
                <a:solidFill>
                  <a:sysClr val="window" lastClr="FFFFFF"/>
                </a:solidFill>
                <a:ln>
                  <a:solidFill>
                    <a:sysClr val="windowText" lastClr="000000">
                      <a:lumMod val="65000"/>
                      <a:lumOff val="35000"/>
                    </a:sysClr>
                  </a:solid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lumMod val="75000"/>
                          <a:lumOff val="25000"/>
                        </a:schemeClr>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393755704289626"/>
                  <c:y val="0.162403517084031"/>
                </c:manualLayout>
              </c:layout>
              <c:numFmt formatCode="0.00%" sourceLinked="0"/>
              <c:spPr>
                <a:solidFill>
                  <a:sysClr val="window" lastClr="FFFFFF"/>
                </a:solidFill>
                <a:ln>
                  <a:solidFill>
                    <a:sysClr val="windowText" lastClr="000000">
                      <a:lumMod val="65000"/>
                      <a:lumOff val="35000"/>
                    </a:sysClr>
                  </a:solid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lumMod val="75000"/>
                          <a:lumOff val="25000"/>
                        </a:schemeClr>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300160436506772"/>
                  <c:y val="0.248883797453108"/>
                </c:manualLayout>
              </c:layout>
              <c:numFmt formatCode="0.00%" sourceLinked="0"/>
              <c:spPr>
                <a:solidFill>
                  <a:sysClr val="window" lastClr="FFFFFF"/>
                </a:solidFill>
                <a:ln>
                  <a:solidFill>
                    <a:sysClr val="windowText" lastClr="000000">
                      <a:lumMod val="65000"/>
                      <a:lumOff val="35000"/>
                    </a:sysClr>
                  </a:solid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lumMod val="75000"/>
                          <a:lumOff val="25000"/>
                        </a:schemeClr>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0.00%" sourceLinked="0"/>
            <c:spPr>
              <a:solidFill>
                <a:sysClr val="window" lastClr="FFFFFF"/>
              </a:solidFill>
              <a:ln>
                <a:solidFill>
                  <a:sysClr val="windowText" lastClr="000000">
                    <a:lumMod val="65000"/>
                    <a:lumOff val="35000"/>
                  </a:sysClr>
                </a:solid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lumMod val="75000"/>
                        <a:lumOff val="25000"/>
                      </a:schemeClr>
                    </a:solidFill>
                    <a:latin typeface="+mn-lt"/>
                    <a:ea typeface="+mn-ea"/>
                    <a:cs typeface="+mn-cs"/>
                  </a:defRPr>
                </a:pPr>
              </a:p>
            </c:txPr>
            <c:dLblPos val="outEnd"/>
            <c:showLegendKey val="0"/>
            <c:showVal val="0"/>
            <c:showCatName val="1"/>
            <c:showSerName val="0"/>
            <c:showPercent val="1"/>
            <c:showBubbleSize val="0"/>
            <c:separator> </c:separator>
            <c:showLeaderLines val="1"/>
            <c:extLst>
              <c:ext xmlns:c15="http://schemas.microsoft.com/office/drawing/2012/chart" uri="{CE6537A1-D6FC-4f65-9D91-7224C49458BB}">
                <c15:spPr xmlns:c15="http://schemas.microsoft.com/office/drawing/2012/chart">
                  <a:prstGeom prst="roundRect">
                    <a:avLst/>
                  </a:prstGeom>
                  <a:noFill/>
                  <a:ln>
                    <a:noFill/>
                  </a:ln>
                </c15:spPr>
                <c15:layout/>
                <c15:showLeaderLines val="1"/>
                <c15:leaderLines>
                  <c:spPr>
                    <a:ln w="9525">
                      <a:solidFill>
                        <a:schemeClr val="dk1">
                          <a:lumMod val="35000"/>
                          <a:lumOff val="65000"/>
                        </a:schemeClr>
                      </a:solidFill>
                    </a:ln>
                    <a:effectLst/>
                  </c:spPr>
                </c15:leaderLines>
              </c:ext>
            </c:extLst>
          </c:dLbls>
          <c:cat>
            <c:strRef>
              <c:f>[收入预算图.xlsx]Sheet1!$B$2:$B$6</c:f>
              <c:strCache>
                <c:ptCount val="5"/>
                <c:pt idx="0">
                  <c:v>社会保障和就业支出</c:v>
                </c:pt>
                <c:pt idx="1">
                  <c:v>卫生健康支出</c:v>
                </c:pt>
                <c:pt idx="2">
                  <c:v>住房保障支出</c:v>
                </c:pt>
                <c:pt idx="3">
                  <c:v>一般公共服务支出</c:v>
                </c:pt>
              </c:strCache>
            </c:strRef>
          </c:cat>
          <c:val>
            <c:numRef>
              <c:f>[收入预算图.xlsx]Sheet1!$C$2:$C$6</c:f>
              <c:numCache>
                <c:formatCode>0.00%</c:formatCode>
                <c:ptCount val="5"/>
                <c:pt idx="0">
                  <c:v>0.0341000000000001</c:v>
                </c:pt>
                <c:pt idx="1">
                  <c:v>0.0146</c:v>
                </c:pt>
                <c:pt idx="2">
                  <c:v>0.025</c:v>
                </c:pt>
                <c:pt idx="3">
                  <c:v>0.9263</c:v>
                </c:pt>
              </c:numCache>
            </c:numRef>
          </c:val>
        </c:ser>
        <c:dLbls>
          <c:showLegendKey val="0"/>
          <c:showVal val="0"/>
          <c:showCatName val="1"/>
          <c:showSerName val="0"/>
          <c:showPercent val="1"/>
          <c:showBubbleSize val="0"/>
        </c:dLbls>
      </c:pie3D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dk1">
                  <a:lumMod val="65000"/>
                  <a:lumOff val="35000"/>
                </a:schemeClr>
              </a:solidFill>
              <a:latin typeface="+mn-lt"/>
              <a:ea typeface="+mn-ea"/>
              <a:cs typeface="+mn-cs"/>
            </a:defRPr>
          </a:pPr>
        </a:p>
      </c:txPr>
    </c:legend>
    <c:plotVisOnly val="1"/>
    <c:dispBlanksAs val="gap"/>
    <c:showDLblsOverMax val="0"/>
  </c:chart>
  <c:spPr>
    <a:solidFill>
      <a:schemeClr val="lt1">
        <a:lumMod val="96000"/>
      </a:schemeClr>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97">
  <cs:axisTitle>
    <cs:lnRef idx="0"/>
    <cs:fillRef idx="0"/>
    <cs:effectRef idx="0"/>
    <cs:fontRef idx="minor">
      <a:schemeClr val="dk1">
        <a:lumMod val="65000"/>
        <a:lumOff val="35000"/>
      </a:schemeClr>
    </cs:fontRef>
    <cs:defRPr sz="1000"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lt1">
          <a:lumMod val="96000"/>
        </a:schemeClr>
      </a:solidFill>
      <a:ln w="9525" cap="flat" cmpd="sng" algn="ctr">
        <a:solidFill>
          <a:schemeClr val="tx1">
            <a:lumMod val="15000"/>
            <a:lumOff val="85000"/>
          </a:schemeClr>
        </a:solidFill>
        <a:round/>
      </a:ln>
    </cs:spPr>
    <cs:defRPr sz="1000" kern="1200"/>
  </cs:chartArea>
  <cs:dataLabel>
    <cs:lnRef idx="0"/>
    <cs:fillRef idx="0"/>
    <cs:effectRef idx="0"/>
    <cs:fontRef idx="minor">
      <a:schemeClr val="dk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styleClr val="auto"/>
    </cs:lnRef>
    <cs:fillRef idx="0">
      <cs:styleClr val="auto"/>
    </cs:fillRef>
    <cs:effectRef idx="0"/>
    <cs:fontRef idx="minor">
      <a:schemeClr val="dk1"/>
    </cs:fontRef>
    <cs:spPr>
      <a:gradFill>
        <a:gsLst>
          <a:gs pos="100000">
            <a:schemeClr val="phClr"/>
          </a:gs>
          <a:gs pos="0">
            <a:schemeClr val="phClr">
              <a:hueOff val="-1670000"/>
            </a:schemeClr>
          </a:gs>
        </a:gsLst>
        <a:lin ang="5400000" scaled="0"/>
      </a:gradFill>
      <a:ln>
        <a:gradFill>
          <a:gsLst>
            <a:gs pos="100000">
              <a:schemeClr val="phClr">
                <a:lumMod val="75000"/>
              </a:schemeClr>
            </a:gs>
            <a:gs pos="0">
              <a:schemeClr val="phClr">
                <a:lumMod val="75000"/>
                <a:hueOff val="-1670000"/>
              </a:schemeClr>
            </a:gs>
          </a:gsLst>
          <a:lin ang="4620000" scaled="0"/>
        </a:gradFill>
      </a:ln>
      <a:effectLst/>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a:solidFill>
          <a:schemeClr val="dk1">
            <a:lumMod val="35000"/>
            <a:lumOff val="65000"/>
          </a:schemeClr>
        </a:solidFill>
      </a:ln>
    </cs:spPr>
  </cs:dropLine>
  <cs:errorBar>
    <cs:lnRef idx="0"/>
    <cs:fillRef idx="0"/>
    <cs:effectRef idx="0"/>
    <cs:fontRef idx="minor">
      <a:schemeClr val="tx1"/>
    </cs:fontRef>
    <cs:spPr>
      <a:ln w="9525" cap="flat" cmpd="sng" algn="ctr">
        <a:solidFill>
          <a:schemeClr val="dk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a:solidFill>
          <a:schemeClr val="dk1">
            <a:lumMod val="75000"/>
            <a:lumOff val="25000"/>
          </a:schemeClr>
        </a:solidFill>
      </a:ln>
    </cs:spPr>
  </cs:hiLoLine>
  <cs:leaderLine>
    <cs:lnRef idx="0"/>
    <cs:fillRef idx="0"/>
    <cs:effectRef idx="0"/>
    <cs:fontRef idx="minor">
      <a:schemeClr val="tx1"/>
    </cs:fontRef>
    <cs:spPr>
      <a:ln w="9525">
        <a:solidFill>
          <a:schemeClr val="dk1">
            <a:lumMod val="35000"/>
            <a:lumOff val="65000"/>
          </a:schemeClr>
        </a:solidFill>
      </a:ln>
    </cs:spPr>
  </cs:leaderLine>
  <cs:legend>
    <cs:lnRef idx="0"/>
    <cs:fillRef idx="0"/>
    <cs:effectRef idx="0"/>
    <cs:fontRef idx="minor">
      <a:schemeClr val="dk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tx1"/>
    </cs:fontRef>
    <cs:spPr>
      <a:ln w="9525">
        <a:solidFill>
          <a:schemeClr val="dk1">
            <a:lumMod val="35000"/>
            <a:lumOff val="65000"/>
          </a:schemeClr>
        </a:solidFill>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3248</Words>
  <Characters>3516</Characters>
  <Lines>0</Lines>
  <Paragraphs>0</Paragraphs>
  <TotalTime>4</TotalTime>
  <ScaleCrop>false</ScaleCrop>
  <LinksUpToDate>false</LinksUpToDate>
  <CharactersWithSpaces>3522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2024-05-22T14:39:00Z</dcterms:created>
  <dc:creator>dell</dc:creator>
  <cp:lastModifiedBy>Administrator</cp:lastModifiedBy>
  <dcterms:modified xsi:type="dcterms:W3CDTF">2024-06-22T15:26:01Z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4B589B6B695C4DC7952F61D9C4C27BB6_13</vt:lpwstr>
  </property>
</Properties>
</file>