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岳阳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君山区就业服务中心</w:t>
      </w:r>
    </w:p>
    <w:p>
      <w:pPr>
        <w:spacing w:line="570" w:lineRule="atLeast"/>
        <w:jc w:val="center"/>
        <w:rPr>
          <w:rFonts w:hint="eastAsia" w:ascii="黑体" w:hAnsi="黑体" w:eastAsia="黑体" w:cs="黑体"/>
          <w:b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2024年部门预算公开</w:t>
      </w:r>
    </w:p>
    <w:p>
      <w:pPr>
        <w:jc w:val="center"/>
        <w:rPr>
          <w:rFonts w:hint="eastAsia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both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  <w:r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  <w:t>目 录</w:t>
      </w:r>
    </w:p>
    <w:p>
      <w:pPr>
        <w:widowControl/>
        <w:spacing w:line="570" w:lineRule="atLeast"/>
        <w:ind w:firstLine="630" w:firstLineChars="196"/>
        <w:rPr>
          <w:rFonts w:hint="eastAsia"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第一部分 2024年部门预算说明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一、部门基本概况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二、部门预算单位构成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三、部门收支总体情况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四、一般公共预算拨款支出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五、政府性基金预算支出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六、其他重要事项的情况说明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七、名词解释</w:t>
      </w:r>
    </w:p>
    <w:p>
      <w:pPr>
        <w:ind w:firstLine="643" w:firstLineChars="200"/>
        <w:rPr>
          <w:rFonts w:hint="eastAsia" w:eastAsia="黑体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第二部分 2024年部门预算表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1、收支总表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2、收入总表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3、支出总表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4、支出预算分类汇总表（按政府预算经济分类）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5、支出预算分类汇总表（按部门预算经济分类）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6、财政拨款收支总表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7、一般公共预算支出表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8、一般公共预算基本支出表-人员经费（工资福利支出）（按政府预算经济分类）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9、一般公共预算基本支出表-人员经费（工资福利支出）（按部门预算经济分类）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10、一般公共预算基本支出表-人员经费（对个人和家庭的补助）（按政府预算经济分类）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11、一般公共预算基本支出表-人员经费（对个人和家庭的补助）（按部门预算经济分类）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12、一般公共预算基本支出表-公用经费（商品和服务支出）（按政府预算经济分类）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13、一般公共预算基本支出表-公用经费（商品和服务支出）（按部门预算经济分类）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14、一般公共预算“三公”经费支出表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15、政府性基金预算支出表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16、政府性基金预算支出分类汇总表（按政府预算经济分类）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17、政府性基金预算支出分类汇总表（按部门预算经济分类）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18、国有资本经营预算支出表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19、财政专户管理资金预算支出表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20、专项资金预算汇总表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21、项目支出绩效目标表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22、部门整体支出绩效目标表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23、一般公共预算基本支出表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注：以上部门预算公开报表中，空表表示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本单位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无相关收支情况。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</w:p>
    <w:p>
      <w:pPr>
        <w:jc w:val="center"/>
        <w:rPr>
          <w:rFonts w:hint="eastAsia" w:ascii="Times New Roman" w:hAnsi="Times New Roman" w:eastAsia="方正小标宋_GBK" w:cs="Times New Roman"/>
          <w:b/>
          <w:bCs/>
          <w:kern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/>
          <w:bCs/>
          <w:kern w:val="0"/>
          <w:sz w:val="36"/>
          <w:szCs w:val="36"/>
        </w:rPr>
        <w:t>第一部分 部门预算公开说明</w:t>
      </w: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一、部门基本概况</w:t>
      </w:r>
    </w:p>
    <w:p>
      <w:pPr>
        <w:spacing w:line="570" w:lineRule="atLeast"/>
        <w:ind w:firstLine="643" w:firstLineChars="200"/>
        <w:rPr>
          <w:rFonts w:hint="eastAsia" w:eastAsia="楷体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</w:rPr>
        <w:t>（一）职能职责</w:t>
      </w:r>
    </w:p>
    <w:p>
      <w:pPr>
        <w:widowControl/>
        <w:spacing w:line="600" w:lineRule="exact"/>
        <w:ind w:firstLine="627" w:firstLineChars="196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区人力资源和社会保障局的授权，主要承担全区镇（街道）劳动者职业技能培训工作，落实职业技能培训政策，组织开展就业技能培训、在职职工岗位技能提升培训；承担建档立卡贫困劳动力和退捕渔民就业工作，落实贫困劳动力和退捕渔民职业技能提升培训相关工作，贫困家庭“两后生”技能培训工作；组织开展刑满释放人员、去产能企业失业人员等群体的技能培训工作。承担高校毕业生就业服务工作，落实离校未就业高校毕业生实名登记、就业见习、求职创业补贴、校园招聘活动补助等工作；就业失业登记证系统管理、证书发放工作；全区基层公共就业服务平台建设相关服务工作；组织实施公共就业服务专项活动，开展就业困难人员就业援助工作。承担创业孵化基地建设、创业型城市创建等相关服务工作；承担创业担保贷款审核、发放、统计等相关工作；承担创业培训、创新创业大赛等相关创业服务活动。承担区直企事业单位失业保险缴费申报、失业人员待遇发放、失业保险关系转迁等工作；全区享受失业保险待遇人员的相关服务工作；失业保险稳岗补贴、技能提升补贴政策的受理、发放等服务工作。</w:t>
      </w:r>
    </w:p>
    <w:p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</w:rPr>
        <w:t>（二）机构设置</w:t>
      </w:r>
    </w:p>
    <w:p>
      <w:pPr>
        <w:widowControl/>
        <w:spacing w:line="600" w:lineRule="exact"/>
        <w:ind w:firstLine="627" w:firstLineChars="196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岳阳市</w:t>
      </w:r>
      <w:r>
        <w:rPr>
          <w:rFonts w:eastAsia="仿宋_GB2312"/>
          <w:sz w:val="32"/>
          <w:szCs w:val="32"/>
        </w:rPr>
        <w:t>君山区就业服务</w:t>
      </w:r>
      <w:r>
        <w:rPr>
          <w:rFonts w:hint="eastAsia" w:eastAsia="仿宋_GB2312"/>
          <w:sz w:val="32"/>
          <w:szCs w:val="32"/>
        </w:rPr>
        <w:t>中心</w:t>
      </w:r>
      <w:r>
        <w:rPr>
          <w:rFonts w:eastAsia="仿宋_GB2312"/>
          <w:sz w:val="32"/>
          <w:szCs w:val="32"/>
        </w:rPr>
        <w:t>内设有办公室、就业服务股</w:t>
      </w:r>
      <w:r>
        <w:rPr>
          <w:rFonts w:hint="eastAsia" w:eastAsia="仿宋_GB2312"/>
          <w:sz w:val="32"/>
          <w:szCs w:val="32"/>
        </w:rPr>
        <w:t>、创业贷款担保中心、</w:t>
      </w:r>
      <w:r>
        <w:rPr>
          <w:rFonts w:eastAsia="仿宋_GB2312"/>
          <w:sz w:val="32"/>
          <w:szCs w:val="32"/>
        </w:rPr>
        <w:t>失业保险股</w:t>
      </w:r>
      <w:r>
        <w:rPr>
          <w:rFonts w:hint="eastAsia" w:eastAsia="仿宋_GB2312"/>
          <w:sz w:val="32"/>
          <w:szCs w:val="32"/>
        </w:rPr>
        <w:t>等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eastAsia" w:eastAsia="仿宋_GB2312"/>
          <w:sz w:val="32"/>
          <w:szCs w:val="32"/>
        </w:rPr>
        <w:t>个</w:t>
      </w:r>
      <w:r>
        <w:rPr>
          <w:rFonts w:hint="eastAsia" w:eastAsia="仿宋_GB2312"/>
          <w:sz w:val="32"/>
          <w:szCs w:val="32"/>
          <w:lang w:eastAsia="zh-CN"/>
        </w:rPr>
        <w:t>职能</w:t>
      </w:r>
      <w:r>
        <w:rPr>
          <w:rFonts w:hint="eastAsia" w:eastAsia="仿宋_GB2312"/>
          <w:sz w:val="32"/>
          <w:szCs w:val="32"/>
        </w:rPr>
        <w:t>股室</w:t>
      </w:r>
      <w:r>
        <w:rPr>
          <w:rFonts w:eastAsia="仿宋_GB2312"/>
          <w:sz w:val="32"/>
          <w:szCs w:val="32"/>
        </w:rPr>
        <w:t>。</w:t>
      </w: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二、部门预算单位构成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0" w:firstLineChars="200"/>
        <w:jc w:val="both"/>
        <w:textAlignment w:val="center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bookmarkStart w:id="0" w:name="DEPT_COMPOSE"/>
      <w:r>
        <w:rPr>
          <w:rFonts w:hint="eastAsia" w:eastAsia="仿宋_GB2312"/>
          <w:sz w:val="32"/>
          <w:szCs w:val="32"/>
          <w:lang w:eastAsia="zh-CN"/>
        </w:rPr>
        <w:t>岳阳市</w:t>
      </w:r>
      <w:r>
        <w:rPr>
          <w:rFonts w:eastAsia="仿宋_GB2312"/>
          <w:sz w:val="32"/>
          <w:szCs w:val="32"/>
        </w:rPr>
        <w:t>君山区就业服务</w:t>
      </w:r>
      <w:r>
        <w:rPr>
          <w:rFonts w:hint="eastAsia" w:eastAsia="仿宋_GB2312"/>
          <w:sz w:val="32"/>
          <w:szCs w:val="32"/>
        </w:rPr>
        <w:t>中心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单位只有本级，没有其他二级预算单位，因此，纳入2024年部门预算编制范围的只有</w:t>
      </w:r>
      <w:r>
        <w:rPr>
          <w:rFonts w:hint="eastAsia" w:eastAsia="仿宋_GB2312"/>
          <w:sz w:val="32"/>
          <w:szCs w:val="32"/>
          <w:lang w:eastAsia="zh-CN"/>
        </w:rPr>
        <w:t>岳阳市</w:t>
      </w:r>
      <w:r>
        <w:rPr>
          <w:rFonts w:eastAsia="仿宋_GB2312"/>
          <w:sz w:val="32"/>
          <w:szCs w:val="32"/>
        </w:rPr>
        <w:t>君山区就业服务</w:t>
      </w:r>
      <w:r>
        <w:rPr>
          <w:rFonts w:hint="eastAsia" w:eastAsia="仿宋_GB2312"/>
          <w:sz w:val="32"/>
          <w:szCs w:val="32"/>
        </w:rPr>
        <w:t>中心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本级。</w:t>
      </w:r>
      <w:bookmarkEnd w:id="0"/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部门收支总体情况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本单位2024年没有政府性基金预算拨款、国有资本经营预算收入和纳入专户管理的非税收入拨款收入，也没有使用政府性基金预算拨款、国有资本经营预算收入和纳入专户管理的非税收入拨款安排的支出，所以公开的附件15、16、17、18、19表均为空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kern w:val="2"/>
          <w:sz w:val="32"/>
          <w:szCs w:val="32"/>
          <w:lang w:val="en-US" w:eastAsia="zh-CN" w:bidi="ar-SA"/>
        </w:rPr>
        <w:t>收入预算：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包括一般公共预算、政府性基金、国有资本经营预算等财政拨款收入，以及经营收入、事业收入等单位资金。2024年本单位收入预算565.62万元，其中，一般公共预算拨款565.62万元，政府性基金预算资金0.00万元(所以公开的附件15-17表为空)，国有资本经营预算资金0.00万元(所以公开的附件18表为空)，财政专户管理资金0.00万元(所以公开的附件19表为空)，上级补助收入资金0.00万元，事业单位经营收入资金0.00万元，上年结转结余0.00万元。收入较上年减少9.76万元，下降17.26%。主要原因是2024年过紧日子区财政预算减少，从而导致对商品和服务支出减少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Chars="200" w:right="0" w:rightChars="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drawing>
          <wp:inline distT="0" distB="0" distL="114300" distR="114300">
            <wp:extent cx="4886325" cy="2667000"/>
            <wp:effectExtent l="6350" t="6350" r="22225" b="12700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leftChars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kern w:val="2"/>
          <w:sz w:val="32"/>
          <w:szCs w:val="32"/>
          <w:lang w:val="en-US" w:eastAsia="zh-CN" w:bidi="ar-SA"/>
        </w:rPr>
        <w:t>支出预算：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本单位支出预算565.62万元，其中：社会保障和就业支出537.11万元，卫生健康支出10.55万元，住房保障支出17.96万元。支出较上年减少9.76万元，17.26%。主要原因是2024年过紧日子区财政预算减少，从而导致对商品和服务支出减少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right="0" w:rightChars="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  </w:t>
      </w:r>
      <w:r>
        <w:drawing>
          <wp:inline distT="0" distB="0" distL="114300" distR="114300">
            <wp:extent cx="4596765" cy="3001010"/>
            <wp:effectExtent l="4445" t="4445" r="8890" b="23495"/>
            <wp:docPr id="1" name="图表 1" descr="7b0a202020202263686172745265734964223a20223230343735353931220a7d0a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四、一般公共预算拨款支出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2024年本单位一般公共预算拨款支出565.62万元，其中：社会保障和就业支出537.11万元，占94.96%；卫生健康支出10.55万元，占1.86%；住房保障支出17.96万元，占3.18%。具体安排情况如下：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（一）基本支出：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2024年本单位基本支出预算数226.62万元，主要是为保障部门正常运转、完成日常工作任务而发生的各项支出，包括用于基本工资、津贴补贴等人员经费以及办公费、印刷费、水电费、办公设备购置等公用经费。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（二）项目支出：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本单位项目支出预算339万元，主要是本单位为完成特定工作任务或事业发展目标而发生的支出，包括就业专项区级配套、业务工作经费等，其中：社会保障和就业支出339万元，主要内容为就业专项资金区级配套162万元，失业保险费支出117万元，就业管理事务60万元，主要用于完成本单位2024年度就业创业、培训补贴、社保补贴、失业保险等等方面。</w:t>
      </w: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五、政府性基金预算支出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2024年度本单位无政府性基金安排的支出，所以公开的附件15-17表（政府性基金预算）为空。</w:t>
      </w: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六、其他重要事项的情况说明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（一）机关运行经费：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2024年君山区就业服务中心部门机关运行经费23.94万元，比上年减少6.95万元，下降22.5%，主要原因是厉行节约，压缩了公用经费预算支出。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（二）“三公”经费预算：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本单位“三公”经费预算数为1.12万元，其中，公务接待费1.12万元，公务用车购置及运行费0万元（其中，公务用车购置费0万元，公务用车运行费0万元），因公出国（境）费0万元。2024年“三公”经费预算较2023年减少0.38万元，主要原因是严格落实中央“八项规定”精神和“过紧日子”的要求，从严控制“三公”经费支出。</w:t>
      </w:r>
      <w:bookmarkStart w:id="1" w:name="END_IS_ZERO_06_1"/>
      <w:bookmarkEnd w:id="1"/>
      <w:bookmarkStart w:id="2" w:name="START_IS_ZERO_06_2"/>
      <w:bookmarkEnd w:id="2"/>
      <w:bookmarkStart w:id="3" w:name="END_IS_ZERO_06_2"/>
      <w:bookmarkEnd w:id="3"/>
      <w:bookmarkStart w:id="4" w:name="DIS_MARK_IS_ZERO_06_2"/>
      <w:bookmarkEnd w:id="4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（三）一般性支出情况：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2024年本单位会议费预算0万元，拟召开0次会议，人数0人；培训费预算0万元，拟开展0次培训，人数0人；2024年度本单位未计划举办节庆、晚会、论坛、赛事活动。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yellow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（四）政府采购情况：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2024年本单位政府采购预算总额46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万元，其中，货物类采购预算31万元；工程类采购预算0万元；服务类采购预算15万元。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（五）国有资产占用使用及新增资产配置情况：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截至2023年12月底，本单位共有公务用车0辆，其中，机要通信用车0辆，应急保障用车0辆，执法执勤用车0辆，特种专业技术用车0辆，其他按照规定配备的公务用车0辆；单位价值50万元以上设备0台，其中，单位价值100万元以上设备0台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拟新增配置公务用车0辆，其中，机要通信用车0辆，应急保障用车0辆，执法执勤用车0辆，特种专业技术用车0辆，其他按照规定配备的公务用车0辆；新增配备单位价值50万元以上设备0台，其中，单位价值100万元以上设备0台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（六）预算绩效目标说明：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本单位所有支出实行绩效目标管理。纳入2024年部门整体支出绩效目标的金额为565.62万元，其中，基本支出226.62万元，项目支出339万元，具体绩效目标详见文尾附表中部门预算公开表格的表21-22。</w:t>
      </w: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七、名词解释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1．机关运行经费：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2．“三公”经费：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支出。</w:t>
      </w: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  <w:bookmarkStart w:id="5" w:name="_GoBack"/>
      <w:bookmarkEnd w:id="5"/>
      <w:r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  <w:t>第二部分  2024年部门预算公开表格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1、收支总表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2、收入总表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3、支出总表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4、支出预算分类汇总表（按政府预算经济分类）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5、支出预算分类汇总表（按部门预算经济分类）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6、财政拨款收支总表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7、一般公共预算支出表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8、一般公共预算基本支出表-人员经费（工资福利支出）（按政府预算经济分类）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9、一般公共预算基本支出表-人员经费（工资福利支出）（按部门预算经济分类）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10、一般公共预算基本支出表-人员经费（对个人和家庭的补助）（按政府预算经济分类）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11、一般公共预算基本支出表-人员经费（对个人和家庭的补助）（按部门预算经济分类）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12、一般公共预算基本支出表-公用经费（商品和服务支出）（按政府预算经济分类）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13、一般公共预算基本支出表-公用经费（商品和服务支出）（按部门预算经济分类）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14、一般公共预算“三公”经费支出表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15、政府性基金预算支出表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16、政府性基金预算支出分类汇总表（按政府预算经济分类）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17、政府性基金预算支出分类汇总表（按部门预算经济分类）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18、国有资本经营预算支出表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19、财政专户管理资金预算支出表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20、专项资金预算汇总表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21、项目支出绩效目标表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22、部门整体支出绩效目标表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23、一般公共预算基本支出表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注：以上部门预算公开报表中，空表表示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本单位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无相关收支情况。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right="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附件：岳阳市君山区就业服务中心2024年部门预算公开表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1038EA"/>
    <w:multiLevelType w:val="singleLevel"/>
    <w:tmpl w:val="511038E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0MzkxYTllNGUzYWMwZmMyNjFiNTViYzNiYzdlYTAifQ=="/>
  </w:docVars>
  <w:rsids>
    <w:rsidRoot w:val="637274E6"/>
    <w:rsid w:val="00857C69"/>
    <w:rsid w:val="01F67E7C"/>
    <w:rsid w:val="02412BCB"/>
    <w:rsid w:val="02FA7BB8"/>
    <w:rsid w:val="03631DE8"/>
    <w:rsid w:val="05DE428D"/>
    <w:rsid w:val="05ED25F6"/>
    <w:rsid w:val="065A4E0E"/>
    <w:rsid w:val="079242AE"/>
    <w:rsid w:val="085D0C84"/>
    <w:rsid w:val="0992531D"/>
    <w:rsid w:val="0A0D382D"/>
    <w:rsid w:val="0D2835D5"/>
    <w:rsid w:val="0ED939EE"/>
    <w:rsid w:val="13385187"/>
    <w:rsid w:val="144178C3"/>
    <w:rsid w:val="167C1082"/>
    <w:rsid w:val="168E55F8"/>
    <w:rsid w:val="16B94831"/>
    <w:rsid w:val="18844C6D"/>
    <w:rsid w:val="1ADF1D0E"/>
    <w:rsid w:val="1C744CBF"/>
    <w:rsid w:val="1CD25B13"/>
    <w:rsid w:val="1D6E31FC"/>
    <w:rsid w:val="1D85581C"/>
    <w:rsid w:val="1FD800E8"/>
    <w:rsid w:val="200307FA"/>
    <w:rsid w:val="20A420AE"/>
    <w:rsid w:val="22DF4F83"/>
    <w:rsid w:val="230C7214"/>
    <w:rsid w:val="24302B07"/>
    <w:rsid w:val="243D1BD3"/>
    <w:rsid w:val="256B3D61"/>
    <w:rsid w:val="264178B0"/>
    <w:rsid w:val="26962633"/>
    <w:rsid w:val="26E130FE"/>
    <w:rsid w:val="29C12B1D"/>
    <w:rsid w:val="29C372D4"/>
    <w:rsid w:val="29EC6874"/>
    <w:rsid w:val="2A351017"/>
    <w:rsid w:val="2D6329A9"/>
    <w:rsid w:val="2DA53533"/>
    <w:rsid w:val="305B1762"/>
    <w:rsid w:val="305C2E10"/>
    <w:rsid w:val="3085088F"/>
    <w:rsid w:val="31A800DF"/>
    <w:rsid w:val="324A2389"/>
    <w:rsid w:val="32865768"/>
    <w:rsid w:val="328F1D91"/>
    <w:rsid w:val="32C66482"/>
    <w:rsid w:val="34521626"/>
    <w:rsid w:val="35683252"/>
    <w:rsid w:val="36BE748E"/>
    <w:rsid w:val="36CB7059"/>
    <w:rsid w:val="38E3475C"/>
    <w:rsid w:val="3951638D"/>
    <w:rsid w:val="3A242018"/>
    <w:rsid w:val="418E616F"/>
    <w:rsid w:val="43666CD0"/>
    <w:rsid w:val="472973EE"/>
    <w:rsid w:val="477C3FDA"/>
    <w:rsid w:val="47E411CF"/>
    <w:rsid w:val="490966A2"/>
    <w:rsid w:val="496F41C2"/>
    <w:rsid w:val="49D85229"/>
    <w:rsid w:val="4A4666ED"/>
    <w:rsid w:val="4AD36F68"/>
    <w:rsid w:val="4B5D43D7"/>
    <w:rsid w:val="4BC03402"/>
    <w:rsid w:val="4DBF1A26"/>
    <w:rsid w:val="4EC2028E"/>
    <w:rsid w:val="4EE728E7"/>
    <w:rsid w:val="50447689"/>
    <w:rsid w:val="51B004D2"/>
    <w:rsid w:val="52A91D7A"/>
    <w:rsid w:val="54A70CC5"/>
    <w:rsid w:val="56301712"/>
    <w:rsid w:val="5681523A"/>
    <w:rsid w:val="576A0C54"/>
    <w:rsid w:val="5A1535D7"/>
    <w:rsid w:val="5A380B96"/>
    <w:rsid w:val="5C2B73D1"/>
    <w:rsid w:val="5D7F32CE"/>
    <w:rsid w:val="5F3F29C6"/>
    <w:rsid w:val="60884CBD"/>
    <w:rsid w:val="60B230E1"/>
    <w:rsid w:val="636D1293"/>
    <w:rsid w:val="637274E6"/>
    <w:rsid w:val="63894210"/>
    <w:rsid w:val="662F72F1"/>
    <w:rsid w:val="66B263EF"/>
    <w:rsid w:val="688A2DC0"/>
    <w:rsid w:val="69175946"/>
    <w:rsid w:val="6B49147A"/>
    <w:rsid w:val="6C0749A4"/>
    <w:rsid w:val="6C1B6290"/>
    <w:rsid w:val="6C5E2742"/>
    <w:rsid w:val="6CB542C8"/>
    <w:rsid w:val="6CC62031"/>
    <w:rsid w:val="6DF572B2"/>
    <w:rsid w:val="6E415B81"/>
    <w:rsid w:val="7076663E"/>
    <w:rsid w:val="70AE175A"/>
    <w:rsid w:val="70F92319"/>
    <w:rsid w:val="70FD714B"/>
    <w:rsid w:val="728C4B01"/>
    <w:rsid w:val="729A1F96"/>
    <w:rsid w:val="739C7F8F"/>
    <w:rsid w:val="73BE1EBD"/>
    <w:rsid w:val="74232EF6"/>
    <w:rsid w:val="748B04A5"/>
    <w:rsid w:val="74D47E83"/>
    <w:rsid w:val="753F0C2D"/>
    <w:rsid w:val="77DE623F"/>
    <w:rsid w:val="78CC0C1A"/>
    <w:rsid w:val="791A5BDE"/>
    <w:rsid w:val="7C9338B5"/>
    <w:rsid w:val="7EBE525E"/>
    <w:rsid w:val="7F6D60FB"/>
    <w:rsid w:val="7F78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istrator\Desktop\Book1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&#25910;&#20837;&#39044;&#31639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t>收入预算图</a:t>
            </a:r>
          </a:p>
        </c:rich>
      </c:tx>
      <c:layout/>
      <c:overlay val="0"/>
    </c:title>
    <c:autoTitleDeleted val="0"/>
    <c:plotArea>
      <c:layout/>
      <c:pieChart>
        <c:varyColors val="1"/>
        <c:ser>
          <c:idx val="0"/>
          <c:order val="0"/>
          <c:explosion val="0"/>
          <c:dPt>
            <c:idx val="0"/>
            <c:bubble3D val="0"/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[Book1.xlsx]Sheet1!$A$6</c:f>
              <c:strCache>
                <c:ptCount val="1"/>
                <c:pt idx="0">
                  <c:v>一般公共预算拨款收入</c:v>
                </c:pt>
              </c:strCache>
            </c:strRef>
          </c:cat>
          <c:val>
            <c:numRef>
              <c:f>[Book1.xlsx]Sheet1!$A$7</c:f>
              <c:numCache>
                <c:formatCode>0%</c:formatCode>
                <c:ptCount val="1"/>
                <c:pt idx="0">
                  <c:v>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700737532808399"/>
          <c:y val="0.0547878390201225"/>
          <c:w val="0.236068022747157"/>
          <c:h val="0.307090988626422"/>
        </c:manualLayout>
      </c:layout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支出预算图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115753557121149"/>
          <c:y val="0.36234870926788"/>
          <c:w val="0.826511949164249"/>
          <c:h val="0.612797291578502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contourW="9525"/>
          </c:spPr>
          <c:explosion val="0"/>
          <c:dPt>
            <c:idx val="0"/>
            <c:bubble3D val="0"/>
            <c:spPr>
              <a:gradFill>
                <a:gsLst>
                  <a:gs pos="100000">
                    <a:schemeClr val="accent1"/>
                  </a:gs>
                  <a:gs pos="0">
                    <a:schemeClr val="accent1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1">
                        <a:lumMod val="75000"/>
                      </a:schemeClr>
                    </a:gs>
                    <a:gs pos="0">
                      <a:schemeClr val="accent1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</c:spPr>
          </c:dPt>
          <c:dPt>
            <c:idx val="1"/>
            <c:bubble3D val="0"/>
            <c:spPr>
              <a:gradFill>
                <a:gsLst>
                  <a:gs pos="100000">
                    <a:schemeClr val="accent2"/>
                  </a:gs>
                  <a:gs pos="0">
                    <a:schemeClr val="accent2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2">
                        <a:lumMod val="75000"/>
                      </a:schemeClr>
                    </a:gs>
                    <a:gs pos="0">
                      <a:schemeClr val="accent2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</c:spPr>
          </c:dPt>
          <c:dPt>
            <c:idx val="2"/>
            <c:bubble3D val="0"/>
            <c:spPr>
              <a:gradFill>
                <a:gsLst>
                  <a:gs pos="100000">
                    <a:schemeClr val="accent3"/>
                  </a:gs>
                  <a:gs pos="0">
                    <a:schemeClr val="accent3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3">
                        <a:lumMod val="75000"/>
                      </a:schemeClr>
                    </a:gs>
                    <a:gs pos="0">
                      <a:schemeClr val="accent3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</c:spPr>
          </c:dPt>
          <c:dPt>
            <c:idx val="3"/>
            <c:bubble3D val="0"/>
            <c:spPr>
              <a:gradFill>
                <a:gsLst>
                  <a:gs pos="100000">
                    <a:schemeClr val="accent4"/>
                  </a:gs>
                  <a:gs pos="0">
                    <a:schemeClr val="accent4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4">
                        <a:lumMod val="75000"/>
                      </a:schemeClr>
                    </a:gs>
                    <a:gs pos="0">
                      <a:schemeClr val="accent4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</c:spPr>
          </c:dPt>
          <c:dPt>
            <c:idx val="4"/>
            <c:bubble3D val="0"/>
            <c:spPr>
              <a:gradFill>
                <a:gsLst>
                  <a:gs pos="100000">
                    <a:schemeClr val="accent5"/>
                  </a:gs>
                  <a:gs pos="0">
                    <a:schemeClr val="accent5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5">
                        <a:lumMod val="75000"/>
                      </a:schemeClr>
                    </a:gs>
                    <a:gs pos="0">
                      <a:schemeClr val="accent5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  <a:scene3d>
                <a:camera prst="orthographicFront"/>
                <a:lightRig rig="threePt" dir="t"/>
              </a:scene3d>
              <a:sp3d contourW="9525"/>
            </c:spPr>
          </c:dPt>
          <c:dPt>
            <c:idx val="5"/>
            <c:bubble3D val="0"/>
            <c:spPr>
              <a:gradFill>
                <a:gsLst>
                  <a:gs pos="100000">
                    <a:schemeClr val="accent6"/>
                  </a:gs>
                  <a:gs pos="0">
                    <a:schemeClr val="accent6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6">
                        <a:lumMod val="75000"/>
                      </a:schemeClr>
                    </a:gs>
                    <a:gs pos="0">
                      <a:schemeClr val="accent6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  <a:scene3d>
                <a:camera prst="orthographicFront"/>
                <a:lightRig rig="threePt" dir="t"/>
              </a:scene3d>
              <a:sp3d contourW="9525"/>
            </c:spPr>
          </c:dPt>
          <c:dLbls>
            <c:dLbl>
              <c:idx val="0"/>
              <c:layout>
                <c:manualLayout>
                  <c:x val="0.307061099327439"/>
                  <c:y val="-0.165737358961936"/>
                </c:manualLayout>
              </c:layout>
              <c:numFmt formatCode="0.00%" sourceLinked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65000"/>
                      <a:lumOff val="35000"/>
                    </a:sysClr>
                  </a:solidFill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750142745760195"/>
                  <c:y val="-0.0247038302861547"/>
                </c:manualLayout>
              </c:layout>
              <c:numFmt formatCode="0.00%" sourceLinked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65000"/>
                      <a:lumOff val="35000"/>
                    </a:sysClr>
                  </a:solidFill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107291854650271"/>
                  <c:y val="-0.116992867790304"/>
                </c:manualLayout>
              </c:layout>
              <c:numFmt formatCode="0.00%" sourceLinked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65000"/>
                      <a:lumOff val="35000"/>
                    </a:sysClr>
                  </a:solidFill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201517725090002"/>
                  <c:y val="-0.00172776030414648"/>
                </c:manualLayout>
              </c:layout>
              <c:numFmt formatCode="0.00%" sourceLinked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65000"/>
                      <a:lumOff val="35000"/>
                    </a:sysClr>
                  </a:solidFill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0.00%" sourceLinked="0"/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65000"/>
                    <a:lumOff val="35000"/>
                  </a:sysClr>
                </a:solidFill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eparator> </c:separator>
            <c:showLeaderLines val="1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oundRect">
                    <a:avLst/>
                  </a:prstGeom>
                  <a:noFill/>
                  <a:ln>
                    <a:noFill/>
                  </a:ln>
                </c15:spPr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[收入预算图.xlsx]Sheet1!$B$2:$B$7</c:f>
              <c:strCache>
                <c:ptCount val="6"/>
                <c:pt idx="0">
                  <c:v>社会保障和就业支出</c:v>
                </c:pt>
                <c:pt idx="1">
                  <c:v>卫生健康支出</c:v>
                </c:pt>
                <c:pt idx="3">
                  <c:v>住房保障支出</c:v>
                </c:pt>
              </c:strCache>
            </c:strRef>
          </c:cat>
          <c:val>
            <c:numRef>
              <c:f>[收入预算图.xlsx]Sheet1!$C$2:$C$7</c:f>
              <c:numCache>
                <c:formatCode>0.00%</c:formatCode>
                <c:ptCount val="6"/>
                <c:pt idx="0">
                  <c:v>0.9496</c:v>
                </c:pt>
                <c:pt idx="1">
                  <c:v>0.0186</c:v>
                </c:pt>
                <c:pt idx="3">
                  <c:v>0.0318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</c:dLbls>
      </c:pie3DChart>
      <c:spPr>
        <a:noFill/>
        <a:ln>
          <a:noFill/>
        </a:ln>
        <a:effectLst/>
      </c:spPr>
    </c:plotArea>
    <c:legend>
      <c:legendPos val="t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lt1">
        <a:lumMod val="96000"/>
      </a:schemeClr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097">
  <cs:axisTitle>
    <cs:lnRef idx="0"/>
    <cs:fillRef idx="0"/>
    <cs:effectRef idx="0"/>
    <cs:fontRef idx="minor">
      <a:schemeClr val="dk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lt1">
          <a:lumMod val="96000"/>
        </a:schemeClr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100000">
            <a:schemeClr val="phClr"/>
          </a:gs>
          <a:gs pos="0">
            <a:schemeClr val="phClr">
              <a:hueOff val="-1670000"/>
            </a:schemeClr>
          </a:gs>
        </a:gsLst>
        <a:lin ang="5400000" scaled="0"/>
      </a:gradFill>
      <a:ln>
        <a:gradFill>
          <a:gsLst>
            <a:gs pos="100000">
              <a:schemeClr val="phClr">
                <a:lumMod val="75000"/>
              </a:schemeClr>
            </a:gs>
            <a:gs pos="0">
              <a:schemeClr val="phClr">
                <a:lumMod val="75000"/>
                <a:hueOff val="-1670000"/>
              </a:schemeClr>
            </a:gs>
          </a:gsLst>
          <a:lin ang="4620000" scaled="0"/>
        </a:gradFill>
      </a:ln>
      <a:effectLst/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noFill/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dk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dk1">
            <a:lumMod val="75000"/>
            <a:lumOff val="25000"/>
          </a:schemeClr>
        </a:solidFill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dk1">
            <a:lumMod val="35000"/>
            <a:lumOff val="65000"/>
          </a:schemeClr>
        </a:solidFill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3648</Words>
  <Characters>3919</Characters>
  <Lines>0</Lines>
  <Paragraphs>0</Paragraphs>
  <TotalTime>9</TotalTime>
  <ScaleCrop>false</ScaleCrop>
  <LinksUpToDate>false</LinksUpToDate>
  <CharactersWithSpaces>3925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2024-05-22T14:39:00Z</dcterms:created>
  <dc:creator>dell</dc:creator>
  <cp:lastModifiedBy>Administrator</cp:lastModifiedBy>
  <dcterms:modified xsi:type="dcterms:W3CDTF">2024-06-21T15:26:25Z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AA6161384DF4417F82CE6AEF8ABCBB2E_11</vt:lpwstr>
  </property>
</Properties>
</file>