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4</w:t>
      </w:r>
    </w:p>
    <w:p>
      <w:pPr>
        <w:jc w:val="center"/>
        <w:rPr>
          <w:rFonts w:hint="default" w:ascii="Times New Roman" w:hAnsi="Times New Roman" w:eastAsia="方正小标宋_GBK" w:cs="Times New Roman"/>
          <w:sz w:val="52"/>
          <w:szCs w:val="52"/>
          <w:highlight w:val="none"/>
        </w:rPr>
      </w:pP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年度岳阳市君山区退役军人事务局</w:t>
      </w: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整体支出绩效自评报告</w:t>
      </w:r>
    </w:p>
    <w:p>
      <w:pPr>
        <w:jc w:val="center"/>
        <w:rPr>
          <w:rFonts w:hint="default" w:ascii="Times New Roman" w:hAnsi="Times New Roman" w:eastAsia="方正小标宋_GBK" w:cs="Times New Roman"/>
          <w:b/>
          <w:sz w:val="52"/>
          <w:szCs w:val="5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楷体_GB2312" w:cs="Times New Roman"/>
          <w:b/>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both"/>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jc w:val="center"/>
        <w:rPr>
          <w:rFonts w:hint="default" w:ascii="Times New Roman" w:hAnsi="Times New Roman" w:eastAsia="黑体" w:cs="Times New Roman"/>
          <w:sz w:val="32"/>
          <w:szCs w:val="32"/>
          <w:highlight w:val="none"/>
        </w:rPr>
      </w:pPr>
    </w:p>
    <w:p>
      <w:pPr>
        <w:spacing w:line="600" w:lineRule="exact"/>
        <w:jc w:val="center"/>
        <w:rPr>
          <w:rFonts w:hint="default" w:ascii="Times New Roman" w:hAnsi="Times New Roman" w:eastAsia="仿宋_GB2312" w:cs="Times New Roman"/>
          <w:sz w:val="32"/>
          <w:szCs w:val="32"/>
          <w:highlight w:val="none"/>
          <w:u w:val="single"/>
        </w:rPr>
      </w:pPr>
      <w:r>
        <w:rPr>
          <w:rFonts w:hint="default" w:ascii="Times New Roman" w:hAnsi="Times New Roman" w:eastAsia="仿宋_GB2312" w:cs="Times New Roman"/>
          <w:sz w:val="32"/>
          <w:szCs w:val="32"/>
          <w:highlight w:val="none"/>
        </w:rPr>
        <w:t>部门（单位）名称：</w:t>
      </w:r>
      <w:r>
        <w:rPr>
          <w:rFonts w:hint="default" w:ascii="Times New Roman" w:hAnsi="Times New Roman" w:eastAsia="仿宋_GB2312" w:cs="Times New Roman"/>
          <w:sz w:val="32"/>
          <w:szCs w:val="32"/>
          <w:highlight w:val="none"/>
          <w:u w:val="single"/>
        </w:rPr>
        <w:t>（盖章）</w:t>
      </w:r>
    </w:p>
    <w:p>
      <w:pPr>
        <w:spacing w:line="600" w:lineRule="exact"/>
        <w:jc w:val="center"/>
        <w:rPr>
          <w:rFonts w:hint="default" w:ascii="Times New Roman" w:hAnsi="Times New Roman" w:eastAsia="楷体_GB2312" w:cs="Times New Roman"/>
          <w:sz w:val="32"/>
          <w:szCs w:val="32"/>
          <w:highlight w:val="none"/>
        </w:rPr>
      </w:pPr>
      <w:r>
        <w:rPr>
          <w:rFonts w:hint="eastAsia" w:ascii="Times New Roman" w:hAnsi="Times New Roman" w:eastAsia="楷体_GB2312" w:cs="Times New Roman"/>
          <w:sz w:val="32"/>
          <w:szCs w:val="32"/>
          <w:highlight w:val="none"/>
          <w:lang w:val="en-US" w:eastAsia="zh-CN"/>
        </w:rPr>
        <w:t>2024</w:t>
      </w:r>
      <w:r>
        <w:rPr>
          <w:rFonts w:hint="default" w:ascii="Times New Roman" w:hAnsi="Times New Roman" w:eastAsia="楷体_GB2312" w:cs="Times New Roman"/>
          <w:sz w:val="32"/>
          <w:szCs w:val="32"/>
          <w:highlight w:val="none"/>
        </w:rPr>
        <w:t>年</w:t>
      </w:r>
      <w:r>
        <w:rPr>
          <w:rFonts w:hint="eastAsia" w:ascii="Times New Roman" w:hAnsi="Times New Roman" w:eastAsia="楷体_GB2312" w:cs="Times New Roman"/>
          <w:sz w:val="32"/>
          <w:szCs w:val="32"/>
          <w:highlight w:val="none"/>
          <w:lang w:val="en-US" w:eastAsia="zh-CN"/>
        </w:rPr>
        <w:t>6</w:t>
      </w:r>
      <w:r>
        <w:rPr>
          <w:rFonts w:hint="default" w:ascii="Times New Roman" w:hAnsi="Times New Roman" w:eastAsia="楷体_GB2312" w:cs="Times New Roman"/>
          <w:sz w:val="32"/>
          <w:szCs w:val="32"/>
          <w:highlight w:val="none"/>
        </w:rPr>
        <w:t xml:space="preserve"> 月</w:t>
      </w:r>
      <w:r>
        <w:rPr>
          <w:rFonts w:hint="eastAsia" w:ascii="Times New Roman" w:hAnsi="Times New Roman" w:eastAsia="楷体_GB2312" w:cs="Times New Roman"/>
          <w:sz w:val="32"/>
          <w:szCs w:val="32"/>
          <w:highlight w:val="none"/>
          <w:lang w:val="en-US" w:eastAsia="zh-CN"/>
        </w:rPr>
        <w:t>24</w:t>
      </w:r>
      <w:r>
        <w:rPr>
          <w:rFonts w:hint="default" w:ascii="Times New Roman" w:hAnsi="Times New Roman" w:eastAsia="楷体_GB2312" w:cs="Times New Roman"/>
          <w:sz w:val="32"/>
          <w:szCs w:val="32"/>
          <w:highlight w:val="none"/>
        </w:rPr>
        <w:t>日</w:t>
      </w:r>
    </w:p>
    <w:p>
      <w:pPr>
        <w:jc w:val="center"/>
        <w:rPr>
          <w:rFonts w:hint="default" w:ascii="Times New Roman" w:hAnsi="Times New Roman" w:eastAsia="仿宋_GB2312" w:cs="Times New Roman"/>
          <w:sz w:val="32"/>
          <w:szCs w:val="32"/>
          <w:highlight w:val="none"/>
        </w:rPr>
      </w:pPr>
      <w:r>
        <w:rPr>
          <w:rFonts w:hint="default" w:ascii="Times New Roman" w:hAnsi="Times New Roman" w:eastAsia="仿宋_GB2312" w:cs="Times New Roman"/>
          <w:sz w:val="32"/>
          <w:szCs w:val="32"/>
          <w:highlight w:val="none"/>
        </w:rPr>
        <w:t>（此页为封面）</w:t>
      </w:r>
    </w:p>
    <w:p>
      <w:pPr>
        <w:jc w:val="center"/>
        <w:rPr>
          <w:rFonts w:hint="eastAsia" w:ascii="方正小标宋简体" w:hAnsi="方正小标宋简体" w:eastAsia="方正小标宋简体" w:cs="方正小标宋简体"/>
          <w:sz w:val="44"/>
          <w:szCs w:val="44"/>
          <w:highlight w:val="none"/>
          <w:lang w:eastAsia="zh-CN"/>
        </w:rPr>
      </w:pPr>
      <w:r>
        <w:rPr>
          <w:rFonts w:hint="default" w:ascii="Times New Roman" w:hAnsi="Times New Roman" w:eastAsia="仿宋_GB2312" w:cs="Times New Roman"/>
          <w:sz w:val="32"/>
          <w:szCs w:val="32"/>
          <w:highlight w:val="none"/>
        </w:rPr>
        <w:br w:type="page"/>
      </w:r>
      <w:r>
        <w:rPr>
          <w:rFonts w:hint="eastAsia" w:ascii="方正小标宋简体" w:hAnsi="方正小标宋简体" w:eastAsia="方正小标宋简体" w:cs="方正小标宋简体"/>
          <w:sz w:val="44"/>
          <w:szCs w:val="44"/>
          <w:highlight w:val="none"/>
        </w:rPr>
        <w:t>202</w:t>
      </w:r>
      <w:r>
        <w:rPr>
          <w:rFonts w:hint="eastAsia" w:ascii="方正小标宋简体" w:hAnsi="方正小标宋简体" w:eastAsia="方正小标宋简体" w:cs="方正小标宋简体"/>
          <w:sz w:val="44"/>
          <w:szCs w:val="44"/>
          <w:highlight w:val="none"/>
          <w:lang w:val="en-US" w:eastAsia="zh-CN"/>
        </w:rPr>
        <w:t>3</w:t>
      </w:r>
      <w:r>
        <w:rPr>
          <w:rFonts w:hint="eastAsia" w:ascii="方正小标宋简体" w:hAnsi="方正小标宋简体" w:eastAsia="方正小标宋简体" w:cs="方正小标宋简体"/>
          <w:sz w:val="44"/>
          <w:szCs w:val="44"/>
          <w:highlight w:val="none"/>
        </w:rPr>
        <w:t>年度</w:t>
      </w:r>
      <w:r>
        <w:rPr>
          <w:rFonts w:hint="eastAsia" w:ascii="方正小标宋简体" w:hAnsi="方正小标宋简体" w:eastAsia="方正小标宋简体" w:cs="方正小标宋简体"/>
          <w:sz w:val="44"/>
          <w:szCs w:val="44"/>
          <w:highlight w:val="none"/>
          <w:lang w:eastAsia="zh-CN"/>
        </w:rPr>
        <w:t>岳阳市君山区退役军人事务局</w:t>
      </w:r>
    </w:p>
    <w:p>
      <w:pPr>
        <w:jc w:val="center"/>
        <w:rPr>
          <w:rFonts w:hint="eastAsia" w:ascii="方正小标宋简体" w:hAnsi="方正小标宋简体" w:eastAsia="方正小标宋简体" w:cs="方正小标宋简体"/>
          <w:sz w:val="44"/>
          <w:szCs w:val="44"/>
          <w:highlight w:val="none"/>
        </w:rPr>
      </w:pPr>
      <w:r>
        <w:rPr>
          <w:rFonts w:hint="eastAsia" w:ascii="方正小标宋简体" w:hAnsi="方正小标宋简体" w:eastAsia="方正小标宋简体" w:cs="方正小标宋简体"/>
          <w:sz w:val="44"/>
          <w:szCs w:val="44"/>
          <w:highlight w:val="none"/>
        </w:rPr>
        <w:t>整体支出绩效自评报告</w:t>
      </w:r>
    </w:p>
    <w:p>
      <w:pPr>
        <w:keepNext w:val="0"/>
        <w:keepLines w:val="0"/>
        <w:pageBreakBefore w:val="0"/>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sz w:val="32"/>
          <w:szCs w:val="32"/>
          <w:highlight w:val="none"/>
        </w:rPr>
      </w:pPr>
    </w:p>
    <w:p>
      <w:pPr>
        <w:keepNext w:val="0"/>
        <w:keepLines w:val="0"/>
        <w:pageBreakBefore w:val="0"/>
        <w:numPr>
          <w:ilvl w:val="0"/>
          <w:numId w:val="1"/>
        </w:numPr>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部门基本情况</w:t>
      </w:r>
    </w:p>
    <w:p>
      <w:pPr>
        <w:keepNext w:val="0"/>
        <w:keepLines w:val="0"/>
        <w:pageBreakBefore w:val="0"/>
        <w:numPr>
          <w:ilvl w:val="0"/>
          <w:numId w:val="0"/>
        </w:numPr>
        <w:kinsoku/>
        <w:wordWrap/>
        <w:overflowPunct/>
        <w:topLinePunct w:val="0"/>
        <w:autoSpaceDE/>
        <w:autoSpaceDN/>
        <w:bidi w:val="0"/>
        <w:adjustRightInd/>
        <w:snapToGrid/>
        <w:spacing w:line="640" w:lineRule="exact"/>
        <w:jc w:val="both"/>
        <w:textAlignment w:val="auto"/>
        <w:rPr>
          <w:rFonts w:hint="eastAsia" w:ascii="Times New Roman" w:hAnsi="Times New Roman" w:eastAsia="楷体_GB2312" w:cs="Times New Roman"/>
          <w:b/>
          <w:kern w:val="0"/>
          <w:sz w:val="32"/>
          <w:szCs w:val="32"/>
          <w:highlight w:val="none"/>
          <w:lang w:val="en-US" w:eastAsia="zh-CN" w:bidi="ar-SA"/>
        </w:rPr>
      </w:pPr>
      <w:r>
        <w:rPr>
          <w:rFonts w:hint="eastAsia" w:ascii="Times New Roman" w:hAnsi="Times New Roman" w:eastAsia="黑体" w:cs="Times New Roman"/>
          <w:sz w:val="32"/>
          <w:szCs w:val="32"/>
          <w:highlight w:val="none"/>
          <w:lang w:eastAsia="zh-CN"/>
        </w:rPr>
        <w:t>　</w:t>
      </w:r>
      <w:r>
        <w:rPr>
          <w:rFonts w:hint="eastAsia" w:ascii="Times New Roman" w:hAnsi="Times New Roman" w:eastAsia="楷体_GB2312" w:cs="Times New Roman"/>
          <w:b/>
          <w:kern w:val="0"/>
          <w:sz w:val="32"/>
          <w:szCs w:val="32"/>
          <w:highlight w:val="none"/>
          <w:lang w:val="en-US" w:eastAsia="zh-CN" w:bidi="ar-SA"/>
        </w:rPr>
        <w:t>（一）单位基本情况</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lang w:eastAsia="zh-CN"/>
        </w:rPr>
        <w:t>岳阳市君山区退役军人事务局</w:t>
      </w:r>
      <w:r>
        <w:rPr>
          <w:rFonts w:hint="eastAsia" w:ascii="Times New Roman" w:hAnsi="Times New Roman" w:eastAsia="仿宋_GB2312" w:cs="Times New Roman"/>
          <w:color w:val="000000"/>
          <w:sz w:val="32"/>
          <w:szCs w:val="32"/>
          <w:highlight w:val="none"/>
          <w:lang w:val="en-US" w:eastAsia="zh-CN"/>
        </w:rPr>
        <w:t>（以下简称我</w:t>
      </w:r>
      <w:r>
        <w:rPr>
          <w:rFonts w:hint="eastAsia" w:ascii="Times New Roman" w:hAnsi="Times New Roman" w:eastAsia="仿宋_GB2312" w:cs="Times New Roman"/>
          <w:color w:val="000000"/>
          <w:sz w:val="32"/>
          <w:szCs w:val="32"/>
          <w:highlight w:val="none"/>
          <w:lang w:eastAsia="zh-CN"/>
        </w:rPr>
        <w:t>局</w:t>
      </w:r>
      <w:r>
        <w:rPr>
          <w:rFonts w:hint="eastAsia" w:ascii="Times New Roman" w:hAnsi="Times New Roman" w:eastAsia="仿宋_GB2312" w:cs="Times New Roman"/>
          <w:color w:val="000000"/>
          <w:sz w:val="32"/>
          <w:szCs w:val="32"/>
          <w:highlight w:val="none"/>
          <w:lang w:val="en-US" w:eastAsia="zh-CN"/>
        </w:rPr>
        <w:t>）</w:t>
      </w:r>
      <w:r>
        <w:rPr>
          <w:rFonts w:hint="eastAsia" w:ascii="Times New Roman" w:hAnsi="Times New Roman" w:eastAsia="仿宋_GB2312" w:cs="Times New Roman"/>
          <w:color w:val="000000"/>
          <w:sz w:val="32"/>
          <w:szCs w:val="32"/>
          <w:highlight w:val="none"/>
          <w:lang w:eastAsia="zh-CN"/>
        </w:rPr>
        <w:t>是区政府工作部门，其职能职责为</w:t>
      </w:r>
      <w:r>
        <w:rPr>
          <w:rFonts w:hint="default" w:ascii="Times New Roman" w:hAnsi="Times New Roman" w:eastAsia="仿宋_GB2312" w:cs="Times New Roman"/>
          <w:color w:val="000000"/>
          <w:sz w:val="32"/>
          <w:szCs w:val="32"/>
          <w:highlight w:val="none"/>
        </w:rPr>
        <w:t>：</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1、贯彻执行党和国家关于退役军人思想政治、管理保障和安置优抚等工作政策法规，组织实施全区退役军人事务发展规划和政策；褒扬彰显退役军人为党、国家和人民牺牲奉献的精神风范和价值导向。</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2、负责全区军队转业干部、复员干部、离休退休干部、退役士兵和无军籍退休退职职工的移交安置工作和自主择业、就业退役军人服务管理工作。</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3、组织指导全区退役军人教育培训工作，协调扶持退役军人和随军随调家属就业创业。</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4、贯彻落实国家、省、市关于退役军人的特殊保障政策，会同有关部门制定相关工作办法，并组织实施。</w:t>
      </w:r>
    </w:p>
    <w:p>
      <w:pPr>
        <w:keepNext w:val="0"/>
        <w:keepLines w:val="0"/>
        <w:pageBreakBefore w:val="0"/>
        <w:widowControl/>
        <w:kinsoku/>
        <w:wordWrap/>
        <w:overflowPunct/>
        <w:topLinePunct w:val="0"/>
        <w:autoSpaceDE/>
        <w:autoSpaceDN/>
        <w:bidi w:val="0"/>
        <w:adjustRightInd/>
        <w:snapToGrid/>
        <w:spacing w:line="640" w:lineRule="exact"/>
        <w:ind w:firstLine="320" w:firstLineChars="1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　5、组织协调落实全区移交地方的离休退休军人、符合条件的其他退役军人和无军籍退休退职职工的住房保障工作，以及退役军人医疗保障、社会保障、社会保险等待遇保障工作。</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6、组织指导全区伤病残退役军人服务管理和抚恤工作，贯彻落实有关退役军人医疗、疗养、养老等机构的规划政策并指导实施。承担全区不适宜继续服役的伤病残军人相关工作。组织指导全区军供服务保障工作。</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7、组织和指导全区拥军优属工作。负责全区现役军人、退役军人、军队文职人员和军属优待、抚恤等工作；贯彻执行国家关于国民党抗战老兵等有关人员优待政策并指导实施。</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8、负责全区烈士及退役军人荣誉奖励、军人公墓管理维护、纪念活动等工作，依法承担英雄烈士保护相关工作，审核拟列入区以上重点保护单位的烈士纪念建筑物名录，总结表彰和宣扬退役军人、退役军人工作单位和个人先进典型事迹。</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9、指导并监督检查退役军人相关法律法规和政策措施的落实；开展全区退役军人权益维护和有关人员的帮扶援助工作。</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10、完成区委、区政府交办的其他任务。</w:t>
      </w:r>
    </w:p>
    <w:p>
      <w:pPr>
        <w:numPr>
          <w:ilvl w:val="0"/>
          <w:numId w:val="0"/>
        </w:numPr>
        <w:bidi w:val="0"/>
        <w:ind w:left="560" w:leftChars="0"/>
        <w:rPr>
          <w:rFonts w:hint="eastAsia" w:ascii="Times New Roman" w:hAnsi="Times New Roman" w:eastAsia="楷体_GB2312" w:cs="Times New Roman"/>
          <w:b/>
          <w:szCs w:val="32"/>
          <w:highlight w:val="none"/>
          <w:lang w:eastAsia="zh-CN"/>
        </w:rPr>
      </w:pPr>
      <w:r>
        <w:rPr>
          <w:rFonts w:hint="eastAsia" w:ascii="Times New Roman" w:hAnsi="Times New Roman" w:eastAsia="楷体_GB2312" w:cs="Times New Roman"/>
          <w:b/>
          <w:szCs w:val="32"/>
          <w:highlight w:val="none"/>
          <w:lang w:eastAsia="zh-CN"/>
        </w:rPr>
        <w:t>（二）机构设置与人员情况</w:t>
      </w:r>
    </w:p>
    <w:p>
      <w:pPr>
        <w:pStyle w:val="10"/>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color w:val="000000"/>
          <w:sz w:val="32"/>
          <w:szCs w:val="32"/>
          <w:highlight w:val="none"/>
          <w:lang w:eastAsia="zh-CN"/>
        </w:rPr>
      </w:pPr>
      <w:r>
        <w:rPr>
          <w:rFonts w:hint="eastAsia" w:ascii="Times New Roman" w:hAnsi="Times New Roman" w:eastAsia="仿宋_GB2312" w:cs="Times New Roman"/>
          <w:color w:val="000000"/>
          <w:sz w:val="32"/>
          <w:szCs w:val="32"/>
          <w:highlight w:val="none"/>
          <w:lang w:val="en-US" w:eastAsia="zh-CN"/>
        </w:rPr>
        <w:t>我</w:t>
      </w:r>
      <w:r>
        <w:rPr>
          <w:rFonts w:hint="eastAsia" w:ascii="Times New Roman" w:hAnsi="Times New Roman" w:eastAsia="仿宋_GB2312" w:cs="Times New Roman"/>
          <w:color w:val="000000"/>
          <w:sz w:val="32"/>
          <w:szCs w:val="32"/>
          <w:highlight w:val="none"/>
          <w:lang w:eastAsia="zh-CN"/>
        </w:rPr>
        <w:t>局内设4个机构：办公室、移交安置和就业创业股、拥军优抚和褒扬纪念股、政策法规和思想政治股。事业单位：区退役军人服务中心。</w:t>
      </w:r>
    </w:p>
    <w:p>
      <w:pPr>
        <w:pStyle w:val="10"/>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eastAsia" w:ascii="Times New Roman" w:hAnsi="Times New Roman" w:eastAsia="仿宋_GB2312" w:cs="Times New Roman"/>
          <w:color w:val="000000"/>
          <w:kern w:val="0"/>
          <w:sz w:val="32"/>
          <w:szCs w:val="32"/>
          <w:highlight w:val="none"/>
          <w:lang w:val="en-US" w:eastAsia="zh-CN" w:bidi="ar-SA"/>
        </w:rPr>
      </w:pPr>
      <w:r>
        <w:rPr>
          <w:rFonts w:hint="eastAsia" w:ascii="Times New Roman" w:hAnsi="Times New Roman" w:eastAsia="仿宋_GB2312" w:cs="Times New Roman"/>
          <w:color w:val="000000"/>
          <w:kern w:val="0"/>
          <w:sz w:val="32"/>
          <w:szCs w:val="32"/>
          <w:highlight w:val="none"/>
          <w:lang w:val="en-US" w:eastAsia="zh-CN" w:bidi="ar-SA"/>
        </w:rPr>
        <w:t>2023</w:t>
      </w:r>
      <w:r>
        <w:rPr>
          <w:rFonts w:hint="default" w:ascii="Times New Roman" w:hAnsi="Times New Roman" w:eastAsia="仿宋_GB2312" w:cs="Times New Roman"/>
          <w:color w:val="000000"/>
          <w:kern w:val="0"/>
          <w:sz w:val="32"/>
          <w:szCs w:val="32"/>
          <w:highlight w:val="none"/>
          <w:lang w:val="en-US" w:eastAsia="zh-CN" w:bidi="ar-SA"/>
        </w:rPr>
        <w:t>年末</w:t>
      </w:r>
      <w:r>
        <w:rPr>
          <w:rFonts w:hint="eastAsia" w:ascii="Times New Roman" w:hAnsi="Times New Roman" w:eastAsia="仿宋_GB2312" w:cs="Times New Roman"/>
          <w:color w:val="000000"/>
          <w:kern w:val="0"/>
          <w:sz w:val="32"/>
          <w:szCs w:val="32"/>
          <w:highlight w:val="none"/>
          <w:lang w:val="en-US" w:eastAsia="zh-CN" w:bidi="ar-SA"/>
        </w:rPr>
        <w:t>共有在职人员8人，其中，行政人员5人，非参公事业人员3人。</w:t>
      </w:r>
    </w:p>
    <w:p>
      <w:pPr>
        <w:pStyle w:val="10"/>
        <w:keepNext w:val="0"/>
        <w:keepLines w:val="0"/>
        <w:pageBreakBefore w:val="0"/>
        <w:widowControl/>
        <w:numPr>
          <w:ilvl w:val="0"/>
          <w:numId w:val="2"/>
        </w:numPr>
        <w:kinsoku/>
        <w:wordWrap/>
        <w:overflowPunct/>
        <w:topLinePunct w:val="0"/>
        <w:autoSpaceDE/>
        <w:autoSpaceDN/>
        <w:bidi w:val="0"/>
        <w:adjustRightInd/>
        <w:snapToGrid/>
        <w:spacing w:line="640" w:lineRule="exact"/>
        <w:ind w:firstLine="643" w:firstLineChars="200"/>
        <w:jc w:val="both"/>
        <w:textAlignment w:val="auto"/>
        <w:rPr>
          <w:rFonts w:hint="eastAsia" w:ascii="Times New Roman" w:hAnsi="Times New Roman" w:eastAsia="楷体_GB2312" w:cs="Times New Roman"/>
          <w:b/>
          <w:sz w:val="32"/>
          <w:szCs w:val="32"/>
          <w:highlight w:val="none"/>
          <w:lang w:val="en-US" w:eastAsia="zh-CN"/>
        </w:rPr>
      </w:pPr>
      <w:r>
        <w:rPr>
          <w:rFonts w:hint="eastAsia" w:ascii="Times New Roman" w:hAnsi="Times New Roman" w:eastAsia="楷体_GB2312" w:cs="Times New Roman"/>
          <w:b/>
          <w:sz w:val="32"/>
          <w:szCs w:val="32"/>
          <w:highlight w:val="none"/>
          <w:lang w:val="en-US" w:eastAsia="zh-CN"/>
        </w:rPr>
        <w:t>单位绩效目标</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ind w:firstLine="642"/>
        <w:jc w:val="both"/>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kern w:val="2"/>
          <w:sz w:val="32"/>
          <w:szCs w:val="32"/>
          <w:lang w:val="en-US" w:eastAsia="zh-CN" w:bidi="ar-SA"/>
        </w:rPr>
        <w:t>整体支出绩效目标：积极推行预算绩效管理，强化对资金使用情况的预算约束和监督，围绕部门职责，在优抚褒扬工作上下功夫，在安置就业工作上见成效，在服务保障工作上求突破，在双拥建设工作上有创新，在志愿服务工作上出实招，全力保障党委决策部署落地见效，提高财政资金使用绩效，促进管理效能提升</w:t>
      </w:r>
      <w:r>
        <w:rPr>
          <w:rFonts w:hint="eastAsia" w:ascii="Times New Roman" w:hAnsi="Times New Roman" w:eastAsia="仿宋_GB2312" w:cs="Times New Roman"/>
          <w:color w:val="000000"/>
          <w:kern w:val="0"/>
          <w:sz w:val="32"/>
          <w:szCs w:val="32"/>
          <w:highlight w:val="none"/>
          <w:lang w:val="en-US" w:eastAsia="zh-CN" w:bidi="ar-SA"/>
        </w:rPr>
        <w:t>。</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ind w:firstLine="640" w:firstLineChars="200"/>
        <w:jc w:val="both"/>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项目支出绩效目标：做好退役军人服务体系重点优抚对象八一、春节慰问；退役军人事务中心烈士纪念设施管理维护、慰问等业务工作；做好优抚对象抚恤和生活补助经费相关工作。</w:t>
      </w:r>
    </w:p>
    <w:p>
      <w:pPr>
        <w:pStyle w:val="10"/>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二、一般公共预算支出情况</w:t>
      </w:r>
    </w:p>
    <w:p>
      <w:pPr>
        <w:pStyle w:val="10"/>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楷体_GB2312" w:cs="Times New Roman"/>
          <w:b/>
          <w:sz w:val="32"/>
          <w:szCs w:val="32"/>
          <w:highlight w:val="none"/>
        </w:rPr>
      </w:pPr>
      <w:r>
        <w:rPr>
          <w:rFonts w:hint="eastAsia" w:ascii="Times New Roman" w:hAnsi="Times New Roman" w:eastAsia="仿宋_GB2312" w:cs="Times New Roman"/>
          <w:color w:val="000000"/>
          <w:sz w:val="32"/>
          <w:szCs w:val="32"/>
          <w:highlight w:val="none"/>
          <w:lang w:val="en-US" w:eastAsia="zh-CN"/>
        </w:rPr>
        <w:t>我</w:t>
      </w:r>
      <w:r>
        <w:rPr>
          <w:rFonts w:hint="eastAsia" w:ascii="Times New Roman" w:hAnsi="Times New Roman" w:eastAsia="仿宋_GB2312" w:cs="Times New Roman"/>
          <w:color w:val="000000"/>
          <w:sz w:val="32"/>
          <w:szCs w:val="32"/>
          <w:highlight w:val="none"/>
          <w:lang w:eastAsia="zh-CN"/>
        </w:rPr>
        <w:t>局</w:t>
      </w:r>
      <w:r>
        <w:rPr>
          <w:rFonts w:hint="eastAsia" w:ascii="仿宋_GB2312" w:hAnsi="仿宋_GB2312" w:eastAsia="仿宋_GB2312" w:cs="仿宋_GB2312"/>
          <w:kern w:val="2"/>
          <w:sz w:val="32"/>
          <w:szCs w:val="32"/>
          <w:lang w:val="en-US" w:eastAsia="zh-CN" w:bidi="ar-SA"/>
        </w:rPr>
        <w:t>2023年</w:t>
      </w:r>
      <w:r>
        <w:rPr>
          <w:rFonts w:hint="default" w:ascii="仿宋_GB2312" w:hAnsi="仿宋_GB2312" w:eastAsia="仿宋_GB2312" w:cs="仿宋_GB2312"/>
          <w:kern w:val="2"/>
          <w:sz w:val="32"/>
          <w:szCs w:val="32"/>
          <w:lang w:val="en-US" w:eastAsia="zh-CN" w:bidi="ar-SA"/>
        </w:rPr>
        <w:t>全年</w:t>
      </w:r>
      <w:r>
        <w:rPr>
          <w:rFonts w:hint="eastAsia" w:ascii="仿宋_GB2312" w:hAnsi="仿宋_GB2312" w:eastAsia="仿宋_GB2312" w:cs="仿宋_GB2312"/>
          <w:kern w:val="2"/>
          <w:sz w:val="32"/>
          <w:szCs w:val="32"/>
          <w:lang w:val="en-US" w:eastAsia="zh-CN" w:bidi="ar-SA"/>
        </w:rPr>
        <w:t>预算资金</w:t>
      </w:r>
      <w:r>
        <w:rPr>
          <w:rFonts w:hint="eastAsia" w:ascii="Times New Roman" w:hAnsi="Times New Roman" w:eastAsia="仿宋_GB2312" w:cs="Times New Roman"/>
          <w:color w:val="000000"/>
          <w:sz w:val="32"/>
          <w:szCs w:val="32"/>
          <w:highlight w:val="none"/>
          <w:lang w:val="en-US" w:eastAsia="zh-CN"/>
        </w:rPr>
        <w:t>2278.26</w:t>
      </w:r>
      <w:r>
        <w:rPr>
          <w:rFonts w:hint="default" w:ascii="Times New Roman" w:hAnsi="Times New Roman" w:eastAsia="仿宋_GB2312" w:cs="Times New Roman"/>
          <w:color w:val="000000"/>
          <w:sz w:val="32"/>
          <w:szCs w:val="32"/>
          <w:highlight w:val="none"/>
          <w:lang w:val="en-US" w:eastAsia="zh-CN"/>
        </w:rPr>
        <w:t>万元，</w:t>
      </w:r>
      <w:r>
        <w:rPr>
          <w:rFonts w:hint="eastAsia" w:ascii="Times New Roman" w:hAnsi="Times New Roman" w:eastAsia="仿宋_GB2312" w:cs="Times New Roman"/>
          <w:color w:val="000000"/>
          <w:sz w:val="32"/>
          <w:szCs w:val="32"/>
          <w:highlight w:val="none"/>
          <w:lang w:val="en-US" w:eastAsia="zh-CN"/>
        </w:rPr>
        <w:t>其中：</w:t>
      </w:r>
      <w:r>
        <w:rPr>
          <w:rFonts w:hint="default" w:ascii="Times New Roman" w:hAnsi="Times New Roman" w:eastAsia="仿宋_GB2312" w:cs="Times New Roman"/>
          <w:color w:val="000000"/>
          <w:sz w:val="32"/>
          <w:szCs w:val="32"/>
          <w:highlight w:val="none"/>
          <w:lang w:val="en-US" w:eastAsia="zh-CN"/>
        </w:rPr>
        <w:t>基本支出</w:t>
      </w:r>
      <w:r>
        <w:rPr>
          <w:rFonts w:hint="eastAsia" w:ascii="仿宋_GB2312" w:hAnsi="仿宋_GB2312" w:eastAsia="仿宋_GB2312" w:cs="仿宋_GB2312"/>
          <w:kern w:val="2"/>
          <w:sz w:val="32"/>
          <w:szCs w:val="32"/>
          <w:lang w:val="en-US" w:eastAsia="zh-CN" w:bidi="ar-SA"/>
        </w:rPr>
        <w:t>370.72</w:t>
      </w:r>
      <w:r>
        <w:rPr>
          <w:rFonts w:hint="default" w:ascii="仿宋_GB2312" w:hAnsi="仿宋_GB2312" w:eastAsia="仿宋_GB2312" w:cs="仿宋_GB2312"/>
          <w:kern w:val="2"/>
          <w:sz w:val="32"/>
          <w:szCs w:val="32"/>
          <w:lang w:val="en-US" w:eastAsia="zh-CN" w:bidi="ar-SA"/>
        </w:rPr>
        <w:t>万元，</w:t>
      </w:r>
      <w:r>
        <w:rPr>
          <w:rFonts w:hint="eastAsia" w:ascii="仿宋_GB2312" w:hAnsi="仿宋_GB2312" w:eastAsia="仿宋_GB2312" w:cs="仿宋_GB2312"/>
          <w:kern w:val="2"/>
          <w:sz w:val="32"/>
          <w:szCs w:val="32"/>
          <w:lang w:val="en-US" w:eastAsia="zh-CN" w:bidi="ar-SA"/>
        </w:rPr>
        <w:t>项目支出1907.54</w:t>
      </w:r>
      <w:r>
        <w:rPr>
          <w:rFonts w:hint="default" w:ascii="仿宋_GB2312" w:hAnsi="仿宋_GB2312" w:eastAsia="仿宋_GB2312" w:cs="仿宋_GB2312"/>
          <w:kern w:val="2"/>
          <w:sz w:val="32"/>
          <w:szCs w:val="32"/>
          <w:lang w:val="en-US" w:eastAsia="zh-CN" w:bidi="ar-SA"/>
        </w:rPr>
        <w:t>万</w:t>
      </w:r>
      <w:r>
        <w:rPr>
          <w:rFonts w:hint="default" w:ascii="Times New Roman" w:hAnsi="Times New Roman" w:eastAsia="仿宋_GB2312" w:cs="Times New Roman"/>
          <w:color w:val="000000"/>
          <w:sz w:val="32"/>
          <w:szCs w:val="32"/>
          <w:highlight w:val="none"/>
          <w:lang w:val="en-US" w:eastAsia="zh-CN"/>
        </w:rPr>
        <w:t>元</w:t>
      </w:r>
      <w:r>
        <w:rPr>
          <w:rFonts w:hint="eastAsia" w:ascii="Times New Roman" w:hAnsi="Times New Roman" w:eastAsia="仿宋_GB2312" w:cs="Times New Roman"/>
          <w:color w:val="000000"/>
          <w:sz w:val="32"/>
          <w:szCs w:val="32"/>
          <w:highlight w:val="none"/>
          <w:lang w:val="en-US" w:eastAsia="zh-CN"/>
        </w:rPr>
        <w:t>。</w:t>
      </w:r>
      <w:r>
        <w:rPr>
          <w:rFonts w:hint="eastAsia" w:ascii="仿宋_GB2312" w:hAnsi="仿宋_GB2312" w:eastAsia="仿宋_GB2312" w:cs="仿宋_GB2312"/>
          <w:kern w:val="2"/>
          <w:sz w:val="32"/>
          <w:szCs w:val="32"/>
          <w:lang w:val="en-US" w:eastAsia="zh-CN" w:bidi="ar-SA"/>
        </w:rPr>
        <w:t>全年实际支出</w:t>
      </w:r>
      <w:r>
        <w:rPr>
          <w:rFonts w:hint="eastAsia" w:ascii="Times New Roman" w:hAnsi="Times New Roman" w:eastAsia="仿宋_GB2312" w:cs="Times New Roman"/>
          <w:color w:val="000000"/>
          <w:sz w:val="32"/>
          <w:szCs w:val="32"/>
          <w:highlight w:val="none"/>
          <w:lang w:val="en-US" w:eastAsia="zh-CN"/>
        </w:rPr>
        <w:t>2278.26</w:t>
      </w:r>
      <w:r>
        <w:rPr>
          <w:rFonts w:hint="default" w:ascii="Times New Roman" w:hAnsi="Times New Roman" w:eastAsia="仿宋_GB2312" w:cs="Times New Roman"/>
          <w:color w:val="000000"/>
          <w:sz w:val="32"/>
          <w:szCs w:val="32"/>
          <w:highlight w:val="none"/>
          <w:lang w:val="en-US" w:eastAsia="zh-CN"/>
        </w:rPr>
        <w:t>万元，</w:t>
      </w:r>
      <w:r>
        <w:rPr>
          <w:rFonts w:hint="eastAsia" w:ascii="Times New Roman" w:hAnsi="Times New Roman" w:eastAsia="仿宋_GB2312" w:cs="Times New Roman"/>
          <w:color w:val="000000"/>
          <w:sz w:val="32"/>
          <w:szCs w:val="32"/>
          <w:highlight w:val="none"/>
          <w:lang w:val="en-US" w:eastAsia="zh-CN"/>
        </w:rPr>
        <w:t>其中：</w:t>
      </w:r>
      <w:r>
        <w:rPr>
          <w:rFonts w:hint="default" w:ascii="Times New Roman" w:hAnsi="Times New Roman" w:eastAsia="仿宋_GB2312" w:cs="Times New Roman"/>
          <w:color w:val="000000"/>
          <w:sz w:val="32"/>
          <w:szCs w:val="32"/>
          <w:highlight w:val="none"/>
          <w:lang w:val="en-US" w:eastAsia="zh-CN"/>
        </w:rPr>
        <w:t>基本支出</w:t>
      </w:r>
      <w:r>
        <w:rPr>
          <w:rFonts w:hint="eastAsia" w:ascii="仿宋_GB2312" w:hAnsi="仿宋_GB2312" w:eastAsia="仿宋_GB2312" w:cs="仿宋_GB2312"/>
          <w:kern w:val="2"/>
          <w:sz w:val="32"/>
          <w:szCs w:val="32"/>
          <w:lang w:val="en-US" w:eastAsia="zh-CN" w:bidi="ar-SA"/>
        </w:rPr>
        <w:t>370.72</w:t>
      </w:r>
      <w:r>
        <w:rPr>
          <w:rFonts w:hint="default" w:ascii="仿宋_GB2312" w:hAnsi="仿宋_GB2312" w:eastAsia="仿宋_GB2312" w:cs="仿宋_GB2312"/>
          <w:kern w:val="2"/>
          <w:sz w:val="32"/>
          <w:szCs w:val="32"/>
          <w:lang w:val="en-US" w:eastAsia="zh-CN" w:bidi="ar-SA"/>
        </w:rPr>
        <w:t>万元，</w:t>
      </w:r>
      <w:r>
        <w:rPr>
          <w:rFonts w:hint="eastAsia" w:ascii="仿宋_GB2312" w:hAnsi="仿宋_GB2312" w:eastAsia="仿宋_GB2312" w:cs="仿宋_GB2312"/>
          <w:kern w:val="2"/>
          <w:sz w:val="32"/>
          <w:szCs w:val="32"/>
          <w:lang w:val="en-US" w:eastAsia="zh-CN" w:bidi="ar-SA"/>
        </w:rPr>
        <w:t>项目支出1907.54</w:t>
      </w:r>
      <w:r>
        <w:rPr>
          <w:rFonts w:hint="default" w:ascii="仿宋_GB2312" w:hAnsi="仿宋_GB2312" w:eastAsia="仿宋_GB2312" w:cs="仿宋_GB2312"/>
          <w:kern w:val="2"/>
          <w:sz w:val="32"/>
          <w:szCs w:val="32"/>
          <w:lang w:val="en-US" w:eastAsia="zh-CN" w:bidi="ar-SA"/>
        </w:rPr>
        <w:t>万</w:t>
      </w:r>
      <w:r>
        <w:rPr>
          <w:rFonts w:hint="default" w:ascii="Times New Roman" w:hAnsi="Times New Roman" w:eastAsia="仿宋_GB2312" w:cs="Times New Roman"/>
          <w:color w:val="000000"/>
          <w:sz w:val="32"/>
          <w:szCs w:val="32"/>
          <w:highlight w:val="none"/>
          <w:lang w:val="en-US" w:eastAsia="zh-CN"/>
        </w:rPr>
        <w:t>元</w:t>
      </w:r>
      <w:r>
        <w:rPr>
          <w:rFonts w:hint="eastAsia" w:ascii="Times New Roman" w:hAnsi="Times New Roman" w:eastAsia="仿宋_GB2312" w:cs="Times New Roman"/>
          <w:color w:val="000000"/>
          <w:sz w:val="32"/>
          <w:szCs w:val="32"/>
          <w:highlight w:val="none"/>
          <w:lang w:val="en-US" w:eastAsia="zh-CN"/>
        </w:rPr>
        <w:t>。</w:t>
      </w:r>
      <w:r>
        <w:rPr>
          <w:rFonts w:hint="eastAsia" w:ascii="仿宋_GB2312" w:hAnsi="仿宋_GB2312" w:eastAsia="仿宋_GB2312" w:cs="仿宋_GB2312"/>
          <w:kern w:val="2"/>
          <w:sz w:val="32"/>
          <w:szCs w:val="32"/>
          <w:lang w:val="en-US" w:eastAsia="zh-CN" w:bidi="ar-SA"/>
        </w:rPr>
        <w:t>预算执行率100%。</w:t>
      </w:r>
    </w:p>
    <w:p>
      <w:pPr>
        <w:pStyle w:val="10"/>
        <w:keepNext w:val="0"/>
        <w:keepLines w:val="0"/>
        <w:pageBreakBefore w:val="0"/>
        <w:widowControl/>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（一）基本支出情况</w:t>
      </w:r>
    </w:p>
    <w:p>
      <w:pPr>
        <w:pStyle w:val="10"/>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Times New Roman" w:hAnsi="Times New Roman" w:eastAsia="仿宋_GB2312" w:cs="Times New Roman"/>
          <w:color w:val="000000"/>
          <w:sz w:val="32"/>
          <w:szCs w:val="32"/>
          <w:highlight w:val="none"/>
          <w:lang w:val="en-US" w:eastAsia="zh-CN"/>
        </w:rPr>
        <w:t>我</w:t>
      </w:r>
      <w:r>
        <w:rPr>
          <w:rFonts w:hint="eastAsia" w:ascii="Times New Roman" w:hAnsi="Times New Roman" w:eastAsia="仿宋_GB2312" w:cs="Times New Roman"/>
          <w:color w:val="000000"/>
          <w:sz w:val="32"/>
          <w:szCs w:val="32"/>
          <w:highlight w:val="none"/>
          <w:lang w:eastAsia="zh-CN"/>
        </w:rPr>
        <w:t>局</w:t>
      </w:r>
      <w:r>
        <w:rPr>
          <w:rFonts w:hint="eastAsia" w:ascii="仿宋_GB2312" w:hAnsi="仿宋_GB2312" w:eastAsia="仿宋_GB2312" w:cs="仿宋_GB2312"/>
          <w:kern w:val="2"/>
          <w:sz w:val="32"/>
          <w:szCs w:val="32"/>
          <w:lang w:val="en-US" w:eastAsia="zh-CN" w:bidi="ar-SA"/>
        </w:rPr>
        <w:t>2023年</w:t>
      </w:r>
      <w:r>
        <w:rPr>
          <w:rFonts w:hint="default" w:ascii="仿宋_GB2312" w:hAnsi="仿宋_GB2312" w:eastAsia="仿宋_GB2312" w:cs="仿宋_GB2312"/>
          <w:kern w:val="2"/>
          <w:sz w:val="32"/>
          <w:szCs w:val="32"/>
          <w:lang w:val="en-US" w:eastAsia="zh-CN" w:bidi="ar-SA"/>
        </w:rPr>
        <w:t>全年基本支出</w:t>
      </w:r>
      <w:r>
        <w:rPr>
          <w:rFonts w:hint="eastAsia" w:ascii="仿宋_GB2312" w:hAnsi="仿宋_GB2312" w:eastAsia="仿宋_GB2312" w:cs="仿宋_GB2312"/>
          <w:kern w:val="2"/>
          <w:sz w:val="32"/>
          <w:szCs w:val="32"/>
          <w:lang w:val="en-US" w:eastAsia="zh-CN" w:bidi="ar-SA"/>
        </w:rPr>
        <w:t>370.72</w:t>
      </w:r>
      <w:r>
        <w:rPr>
          <w:rFonts w:hint="default" w:ascii="仿宋_GB2312" w:hAnsi="仿宋_GB2312" w:eastAsia="仿宋_GB2312" w:cs="仿宋_GB2312"/>
          <w:kern w:val="2"/>
          <w:sz w:val="32"/>
          <w:szCs w:val="32"/>
          <w:lang w:val="en-US" w:eastAsia="zh-CN" w:bidi="ar-SA"/>
        </w:rPr>
        <w:t>万元，其中人员经费205</w:t>
      </w:r>
      <w:r>
        <w:rPr>
          <w:rFonts w:hint="eastAsia" w:ascii="仿宋_GB2312" w:hAnsi="仿宋_GB2312" w:eastAsia="仿宋_GB2312" w:cs="仿宋_GB2312"/>
          <w:kern w:val="2"/>
          <w:sz w:val="32"/>
          <w:szCs w:val="32"/>
          <w:lang w:val="en-US" w:eastAsia="zh-CN" w:bidi="ar-SA"/>
        </w:rPr>
        <w:t>.</w:t>
      </w:r>
      <w:r>
        <w:rPr>
          <w:rFonts w:hint="default" w:ascii="仿宋_GB2312" w:hAnsi="仿宋_GB2312" w:eastAsia="仿宋_GB2312" w:cs="仿宋_GB2312"/>
          <w:kern w:val="2"/>
          <w:sz w:val="32"/>
          <w:szCs w:val="32"/>
          <w:lang w:val="en-US" w:eastAsia="zh-CN" w:bidi="ar-SA"/>
        </w:rPr>
        <w:t>9</w:t>
      </w:r>
      <w:r>
        <w:rPr>
          <w:rFonts w:hint="eastAsia" w:ascii="仿宋_GB2312" w:hAnsi="仿宋_GB2312" w:eastAsia="仿宋_GB2312" w:cs="仿宋_GB2312"/>
          <w:kern w:val="2"/>
          <w:sz w:val="32"/>
          <w:szCs w:val="32"/>
          <w:lang w:val="en-US" w:eastAsia="zh-CN" w:bidi="ar-SA"/>
        </w:rPr>
        <w:t>1</w:t>
      </w:r>
      <w:r>
        <w:rPr>
          <w:rFonts w:hint="default" w:ascii="仿宋_GB2312" w:hAnsi="仿宋_GB2312" w:eastAsia="仿宋_GB2312" w:cs="仿宋_GB2312"/>
          <w:kern w:val="2"/>
          <w:sz w:val="32"/>
          <w:szCs w:val="32"/>
          <w:lang w:val="en-US" w:eastAsia="zh-CN" w:bidi="ar-SA"/>
        </w:rPr>
        <w:t>万元，公用经费164.81万元。</w:t>
      </w:r>
    </w:p>
    <w:p>
      <w:pPr>
        <w:pStyle w:val="10"/>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基本支出主要是指为保障单位机构正常运转、完成日常工作任务而发生的各项支出，包括用于基本工资、绩效工资、津贴补贴、社会保障缴费等人员经费，办公费、印刷费、水电费、差旅费、公务接待费、维修（护）费等日常公用经费，以及离退休费用等其他对个人和家庭的补助支出。</w:t>
      </w:r>
    </w:p>
    <w:p>
      <w:pPr>
        <w:pStyle w:val="10"/>
        <w:keepNext w:val="0"/>
        <w:keepLines w:val="0"/>
        <w:pageBreakBefore w:val="0"/>
        <w:widowControl/>
        <w:numPr>
          <w:ilvl w:val="0"/>
          <w:numId w:val="3"/>
        </w:numPr>
        <w:kinsoku/>
        <w:wordWrap/>
        <w:overflowPunct/>
        <w:topLinePunct w:val="0"/>
        <w:autoSpaceDE/>
        <w:autoSpaceDN/>
        <w:bidi w:val="0"/>
        <w:adjustRightInd/>
        <w:snapToGrid/>
        <w:spacing w:line="640" w:lineRule="exact"/>
        <w:ind w:firstLine="643" w:firstLineChars="200"/>
        <w:jc w:val="both"/>
        <w:textAlignment w:val="auto"/>
        <w:rPr>
          <w:rFonts w:hint="default" w:ascii="Times New Roman" w:hAnsi="Times New Roman" w:eastAsia="楷体_GB2312" w:cs="Times New Roman"/>
          <w:b/>
          <w:sz w:val="32"/>
          <w:szCs w:val="32"/>
          <w:highlight w:val="none"/>
        </w:rPr>
      </w:pPr>
      <w:r>
        <w:rPr>
          <w:rFonts w:hint="default" w:ascii="Times New Roman" w:hAnsi="Times New Roman" w:eastAsia="楷体_GB2312" w:cs="Times New Roman"/>
          <w:b/>
          <w:sz w:val="32"/>
          <w:szCs w:val="32"/>
          <w:highlight w:val="none"/>
        </w:rPr>
        <w:t>项目支出情况</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jc w:val="both"/>
        <w:textAlignment w:val="auto"/>
        <w:rPr>
          <w:rFonts w:hint="eastAsia" w:ascii="Times New Roman" w:hAnsi="Times New Roman" w:eastAsia="楷体_GB2312" w:cs="Times New Roman"/>
          <w:b/>
          <w:sz w:val="32"/>
          <w:szCs w:val="32"/>
          <w:highlight w:val="yellow"/>
          <w:lang w:eastAsia="zh-CN"/>
        </w:rPr>
      </w:pPr>
      <w:r>
        <w:rPr>
          <w:rFonts w:hint="eastAsia" w:ascii="仿宋_GB2312" w:hAnsi="仿宋_GB2312" w:eastAsia="仿宋_GB2312" w:cs="仿宋_GB2312"/>
          <w:color w:val="000000"/>
          <w:kern w:val="2"/>
          <w:sz w:val="32"/>
          <w:szCs w:val="32"/>
          <w:shd w:val="clear" w:color="auto" w:fill="FFFFFF"/>
          <w:lang w:val="en-US" w:eastAsia="zh-CN" w:bidi="ar-SA"/>
        </w:rPr>
        <w:t>　　2023年</w:t>
      </w:r>
      <w:r>
        <w:rPr>
          <w:rFonts w:hint="default" w:ascii="仿宋_GB2312" w:hAnsi="仿宋_GB2312" w:eastAsia="仿宋_GB2312" w:cs="仿宋_GB2312"/>
          <w:color w:val="000000"/>
          <w:kern w:val="2"/>
          <w:sz w:val="32"/>
          <w:szCs w:val="32"/>
          <w:shd w:val="clear" w:color="auto" w:fill="FFFFFF"/>
          <w:lang w:val="en-US" w:eastAsia="zh-CN" w:bidi="ar-SA"/>
        </w:rPr>
        <w:t>，</w:t>
      </w:r>
      <w:r>
        <w:rPr>
          <w:rFonts w:hint="eastAsia" w:ascii="仿宋_GB2312" w:hAnsi="仿宋_GB2312" w:eastAsia="仿宋_GB2312" w:cs="仿宋_GB2312"/>
          <w:color w:val="000000"/>
          <w:kern w:val="2"/>
          <w:sz w:val="32"/>
          <w:szCs w:val="32"/>
          <w:shd w:val="clear" w:color="auto" w:fill="FFFFFF"/>
          <w:lang w:val="en-US" w:eastAsia="zh-CN" w:bidi="ar-SA"/>
        </w:rPr>
        <w:t>我局</w:t>
      </w:r>
      <w:r>
        <w:rPr>
          <w:rFonts w:hint="default" w:ascii="仿宋_GB2312" w:hAnsi="仿宋_GB2312" w:eastAsia="仿宋_GB2312" w:cs="仿宋_GB2312"/>
          <w:color w:val="000000"/>
          <w:kern w:val="2"/>
          <w:sz w:val="32"/>
          <w:szCs w:val="32"/>
          <w:shd w:val="clear" w:color="auto" w:fill="FFFFFF"/>
          <w:lang w:val="en-US" w:eastAsia="zh-CN" w:bidi="ar-SA"/>
        </w:rPr>
        <w:t>全年</w:t>
      </w:r>
      <w:r>
        <w:rPr>
          <w:rFonts w:hint="eastAsia" w:ascii="仿宋_GB2312" w:hAnsi="仿宋_GB2312" w:eastAsia="仿宋_GB2312" w:cs="仿宋_GB2312"/>
          <w:color w:val="000000"/>
          <w:kern w:val="2"/>
          <w:sz w:val="32"/>
          <w:szCs w:val="32"/>
          <w:shd w:val="clear" w:color="auto" w:fill="FFFFFF"/>
          <w:lang w:val="en-US" w:eastAsia="zh-CN" w:bidi="ar-SA"/>
        </w:rPr>
        <w:t>项目支出1907.54</w:t>
      </w:r>
      <w:r>
        <w:rPr>
          <w:rFonts w:hint="default" w:ascii="仿宋_GB2312" w:hAnsi="仿宋_GB2312" w:eastAsia="仿宋_GB2312" w:cs="仿宋_GB2312"/>
          <w:color w:val="000000"/>
          <w:kern w:val="2"/>
          <w:sz w:val="32"/>
          <w:szCs w:val="32"/>
          <w:shd w:val="clear" w:color="auto" w:fill="FFFFFF"/>
          <w:lang w:val="en-US" w:eastAsia="zh-CN" w:bidi="ar-SA"/>
        </w:rPr>
        <w:t>万元</w:t>
      </w:r>
      <w:r>
        <w:rPr>
          <w:rFonts w:hint="eastAsia" w:ascii="仿宋_GB2312" w:hAnsi="仿宋_GB2312" w:eastAsia="仿宋_GB2312" w:cs="仿宋_GB2312"/>
          <w:color w:val="000000"/>
          <w:kern w:val="2"/>
          <w:sz w:val="32"/>
          <w:szCs w:val="32"/>
          <w:shd w:val="clear" w:color="auto" w:fill="FFFFFF"/>
          <w:lang w:val="en-US" w:eastAsia="zh-CN" w:bidi="ar-SA"/>
        </w:rPr>
        <w:t>，主要是本部门为完成特定工作任务或事业发展目标而发生的支出，包括有关事业发展专项、专项业务费、基本建设支出等，含退役安置支出、退役军人专项、义务兵优待金等项目支出。</w:t>
      </w:r>
    </w:p>
    <w:p>
      <w:pPr>
        <w:pStyle w:val="10"/>
        <w:keepNext w:val="0"/>
        <w:keepLines w:val="0"/>
        <w:pageBreakBefore w:val="0"/>
        <w:widowControl/>
        <w:numPr>
          <w:ilvl w:val="0"/>
          <w:numId w:val="1"/>
        </w:numPr>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政府性基金预算支出情况</w:t>
      </w:r>
    </w:p>
    <w:p>
      <w:pPr>
        <w:pStyle w:val="10"/>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仿宋_GB2312" w:cs="Times New Roman"/>
          <w:color w:val="000000"/>
          <w:sz w:val="32"/>
          <w:szCs w:val="32"/>
          <w:highlight w:val="none"/>
          <w:lang w:val="en-US" w:eastAsia="zh-CN"/>
        </w:rPr>
        <w:t>我</w:t>
      </w:r>
      <w:r>
        <w:rPr>
          <w:rFonts w:hint="eastAsia" w:ascii="Times New Roman" w:hAnsi="Times New Roman" w:eastAsia="仿宋_GB2312" w:cs="Times New Roman"/>
          <w:color w:val="000000"/>
          <w:sz w:val="32"/>
          <w:szCs w:val="32"/>
          <w:highlight w:val="none"/>
          <w:lang w:eastAsia="zh-CN"/>
        </w:rPr>
        <w:t>局</w:t>
      </w:r>
      <w:r>
        <w:rPr>
          <w:rFonts w:hint="eastAsia" w:ascii="仿宋_GB2312" w:hAnsi="仿宋_GB2312" w:eastAsia="仿宋_GB2312" w:cs="仿宋_GB2312"/>
          <w:kern w:val="2"/>
          <w:sz w:val="32"/>
          <w:szCs w:val="32"/>
          <w:lang w:val="en-US" w:eastAsia="zh-CN" w:bidi="ar-SA"/>
        </w:rPr>
        <w:t>无此项支出。</w:t>
      </w:r>
    </w:p>
    <w:p>
      <w:pPr>
        <w:pStyle w:val="10"/>
        <w:keepNext w:val="0"/>
        <w:keepLines w:val="0"/>
        <w:pageBreakBefore w:val="0"/>
        <w:widowControl/>
        <w:numPr>
          <w:ilvl w:val="0"/>
          <w:numId w:val="1"/>
        </w:numPr>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国有资本经营预算支出情况</w:t>
      </w:r>
    </w:p>
    <w:p>
      <w:pPr>
        <w:pStyle w:val="10"/>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仿宋_GB2312" w:cs="Times New Roman"/>
          <w:color w:val="000000"/>
          <w:sz w:val="32"/>
          <w:szCs w:val="32"/>
          <w:highlight w:val="none"/>
          <w:lang w:val="en-US" w:eastAsia="zh-CN"/>
        </w:rPr>
        <w:t>我</w:t>
      </w:r>
      <w:r>
        <w:rPr>
          <w:rFonts w:hint="eastAsia" w:ascii="Times New Roman" w:hAnsi="Times New Roman" w:eastAsia="仿宋_GB2312" w:cs="Times New Roman"/>
          <w:color w:val="000000"/>
          <w:sz w:val="32"/>
          <w:szCs w:val="32"/>
          <w:highlight w:val="none"/>
          <w:lang w:eastAsia="zh-CN"/>
        </w:rPr>
        <w:t>局</w:t>
      </w:r>
      <w:r>
        <w:rPr>
          <w:rFonts w:hint="eastAsia" w:ascii="仿宋_GB2312" w:hAnsi="仿宋_GB2312" w:eastAsia="仿宋_GB2312" w:cs="仿宋_GB2312"/>
          <w:kern w:val="2"/>
          <w:sz w:val="32"/>
          <w:szCs w:val="32"/>
          <w:lang w:val="en-US" w:eastAsia="zh-CN" w:bidi="ar-SA"/>
        </w:rPr>
        <w:t>无此项支出。</w:t>
      </w:r>
    </w:p>
    <w:p>
      <w:pPr>
        <w:pStyle w:val="10"/>
        <w:keepNext w:val="0"/>
        <w:keepLines w:val="0"/>
        <w:pageBreakBefore w:val="0"/>
        <w:widowControl/>
        <w:numPr>
          <w:ilvl w:val="0"/>
          <w:numId w:val="1"/>
        </w:numPr>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社会保险基金预算支出情况</w:t>
      </w:r>
    </w:p>
    <w:p>
      <w:pPr>
        <w:pStyle w:val="10"/>
        <w:keepNext w:val="0"/>
        <w:keepLines w:val="0"/>
        <w:pageBreakBefore w:val="0"/>
        <w:widowControl/>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仿宋_GB2312" w:cs="Times New Roman"/>
          <w:color w:val="000000"/>
          <w:sz w:val="32"/>
          <w:szCs w:val="32"/>
          <w:highlight w:val="none"/>
          <w:lang w:val="en-US" w:eastAsia="zh-CN"/>
        </w:rPr>
        <w:t>我</w:t>
      </w:r>
      <w:r>
        <w:rPr>
          <w:rFonts w:hint="eastAsia" w:ascii="Times New Roman" w:hAnsi="Times New Roman" w:eastAsia="仿宋_GB2312" w:cs="Times New Roman"/>
          <w:color w:val="000000"/>
          <w:sz w:val="32"/>
          <w:szCs w:val="32"/>
          <w:highlight w:val="none"/>
          <w:lang w:eastAsia="zh-CN"/>
        </w:rPr>
        <w:t>局</w:t>
      </w:r>
      <w:r>
        <w:rPr>
          <w:rFonts w:hint="eastAsia" w:ascii="仿宋_GB2312" w:hAnsi="仿宋_GB2312" w:eastAsia="仿宋_GB2312" w:cs="仿宋_GB2312"/>
          <w:kern w:val="2"/>
          <w:sz w:val="32"/>
          <w:szCs w:val="32"/>
          <w:lang w:val="en-US" w:eastAsia="zh-CN" w:bidi="ar-SA"/>
        </w:rPr>
        <w:t>无此项支出。</w:t>
      </w:r>
    </w:p>
    <w:p>
      <w:pPr>
        <w:keepNext w:val="0"/>
        <w:keepLines w:val="0"/>
        <w:pageBreakBefore w:val="0"/>
        <w:widowControl/>
        <w:numPr>
          <w:ilvl w:val="0"/>
          <w:numId w:val="1"/>
        </w:numPr>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部门整体支出绩效情况</w:t>
      </w:r>
    </w:p>
    <w:p>
      <w:pPr>
        <w:pStyle w:val="10"/>
        <w:keepNext w:val="0"/>
        <w:keepLines w:val="0"/>
        <w:pageBreakBefore w:val="0"/>
        <w:widowControl/>
        <w:kinsoku/>
        <w:wordWrap/>
        <w:overflowPunct/>
        <w:topLinePunct w:val="0"/>
        <w:autoSpaceDE/>
        <w:autoSpaceDN/>
        <w:bidi w:val="0"/>
        <w:adjustRightInd/>
        <w:snapToGrid/>
        <w:spacing w:line="640" w:lineRule="exact"/>
        <w:ind w:left="0" w:leftChars="0" w:firstLine="640" w:firstLineChars="0"/>
        <w:jc w:val="both"/>
        <w:textAlignment w:val="auto"/>
        <w:rPr>
          <w:rFonts w:hint="default"/>
        </w:rPr>
      </w:pPr>
      <w:r>
        <w:rPr>
          <w:rFonts w:hint="default" w:ascii="Times New Roman" w:hAnsi="Times New Roman" w:eastAsia="仿宋_GB2312" w:cs="Times New Roman"/>
          <w:color w:val="000000"/>
          <w:sz w:val="32"/>
          <w:szCs w:val="32"/>
          <w:highlight w:val="none"/>
        </w:rPr>
        <w:t>202</w:t>
      </w:r>
      <w:r>
        <w:rPr>
          <w:rFonts w:hint="eastAsia" w:ascii="Times New Roman" w:hAnsi="Times New Roman" w:eastAsia="仿宋_GB2312" w:cs="Times New Roman"/>
          <w:color w:val="000000"/>
          <w:sz w:val="32"/>
          <w:szCs w:val="32"/>
          <w:highlight w:val="none"/>
          <w:lang w:val="en-US" w:eastAsia="zh-CN"/>
        </w:rPr>
        <w:t>3</w:t>
      </w:r>
      <w:r>
        <w:rPr>
          <w:rFonts w:hint="default" w:ascii="Times New Roman" w:hAnsi="Times New Roman" w:eastAsia="仿宋_GB2312" w:cs="Times New Roman"/>
          <w:color w:val="000000"/>
          <w:sz w:val="32"/>
          <w:szCs w:val="32"/>
          <w:highlight w:val="none"/>
        </w:rPr>
        <w:t>年</w:t>
      </w:r>
      <w:r>
        <w:rPr>
          <w:rFonts w:hint="eastAsia" w:ascii="Times New Roman" w:hAnsi="Times New Roman" w:eastAsia="仿宋_GB2312" w:cs="Times New Roman"/>
          <w:color w:val="000000"/>
          <w:sz w:val="32"/>
          <w:szCs w:val="32"/>
          <w:highlight w:val="none"/>
          <w:lang w:eastAsia="zh-CN"/>
        </w:rPr>
        <w:t>，</w:t>
      </w:r>
      <w:r>
        <w:rPr>
          <w:rFonts w:hint="eastAsia" w:ascii="Times New Roman" w:hAnsi="Times New Roman" w:eastAsia="仿宋_GB2312" w:cs="Times New Roman"/>
          <w:color w:val="000000"/>
          <w:sz w:val="32"/>
          <w:szCs w:val="32"/>
          <w:highlight w:val="none"/>
          <w:lang w:val="en-US" w:eastAsia="zh-CN"/>
        </w:rPr>
        <w:t>我</w:t>
      </w:r>
      <w:r>
        <w:rPr>
          <w:rFonts w:hint="eastAsia" w:ascii="Times New Roman" w:hAnsi="Times New Roman" w:eastAsia="仿宋_GB2312" w:cs="Times New Roman"/>
          <w:color w:val="000000"/>
          <w:sz w:val="32"/>
          <w:szCs w:val="32"/>
          <w:highlight w:val="none"/>
          <w:lang w:eastAsia="zh-CN"/>
        </w:rPr>
        <w:t>局严格执行预算，</w:t>
      </w:r>
      <w:r>
        <w:rPr>
          <w:rFonts w:hint="default" w:ascii="Times New Roman" w:hAnsi="Times New Roman" w:eastAsia="仿宋_GB2312" w:cs="Times New Roman"/>
          <w:color w:val="000000"/>
          <w:sz w:val="32"/>
          <w:szCs w:val="32"/>
          <w:highlight w:val="none"/>
        </w:rPr>
        <w:t>财务管理规范，各项工作任务全面完成，单位行政运行稳定有序</w:t>
      </w:r>
      <w:r>
        <w:rPr>
          <w:rFonts w:hint="eastAsia" w:ascii="Times New Roman" w:hAnsi="Times New Roman" w:eastAsia="仿宋_GB2312" w:cs="Times New Roman"/>
          <w:color w:val="000000"/>
          <w:sz w:val="32"/>
          <w:szCs w:val="32"/>
          <w:highlight w:val="none"/>
          <w:lang w:eastAsia="zh-CN"/>
        </w:rPr>
        <w:t>，</w:t>
      </w:r>
      <w:r>
        <w:rPr>
          <w:rFonts w:hint="eastAsia" w:ascii="仿宋_GB2312" w:hAnsi="仿宋_GB2312" w:eastAsia="仿宋_GB2312" w:cs="仿宋_GB2312"/>
          <w:kern w:val="2"/>
          <w:sz w:val="32"/>
          <w:szCs w:val="32"/>
          <w:lang w:val="en-US" w:eastAsia="zh-CN" w:bidi="ar-SA"/>
        </w:rPr>
        <w:t>部门整体支出绩效自评得分97分。</w:t>
      </w:r>
    </w:p>
    <w:p>
      <w:pPr>
        <w:keepNext w:val="0"/>
        <w:keepLines w:val="0"/>
        <w:pageBreakBefore w:val="0"/>
        <w:widowControl/>
        <w:numPr>
          <w:ilvl w:val="0"/>
          <w:numId w:val="4"/>
        </w:numPr>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000000"/>
          <w:sz w:val="32"/>
          <w:szCs w:val="32"/>
          <w:highlight w:val="none"/>
        </w:rPr>
      </w:pPr>
      <w:r>
        <w:rPr>
          <w:rFonts w:hint="eastAsia" w:ascii="仿宋_GB2312" w:hAnsi="仿宋_GB2312" w:eastAsia="仿宋_GB2312" w:cs="仿宋_GB2312"/>
          <w:kern w:val="2"/>
          <w:sz w:val="32"/>
          <w:szCs w:val="32"/>
          <w:lang w:val="en-US" w:eastAsia="zh-CN" w:bidi="ar-SA"/>
        </w:rPr>
        <w:t>预算财务管理方面</w:t>
      </w:r>
    </w:p>
    <w:p>
      <w:pPr>
        <w:pStyle w:val="10"/>
        <w:keepNext w:val="0"/>
        <w:keepLines w:val="0"/>
        <w:pageBreakBefore w:val="0"/>
        <w:widowControl/>
        <w:kinsoku/>
        <w:wordWrap/>
        <w:overflowPunct/>
        <w:topLinePunct w:val="0"/>
        <w:autoSpaceDE/>
        <w:autoSpaceDN/>
        <w:bidi w:val="0"/>
        <w:adjustRightInd/>
        <w:snapToGrid/>
        <w:spacing w:line="640" w:lineRule="exact"/>
        <w:ind w:left="0" w:leftChars="0" w:firstLine="0" w:firstLineChars="0"/>
        <w:jc w:val="both"/>
        <w:textAlignment w:val="auto"/>
        <w:rPr>
          <w:rFonts w:hint="default" w:ascii="Times New Roman" w:hAnsi="Times New Roman" w:eastAsia="仿宋_GB2312" w:cs="Times New Roman"/>
          <w:color w:val="000000"/>
          <w:sz w:val="32"/>
          <w:szCs w:val="32"/>
          <w:highlight w:val="none"/>
        </w:rPr>
      </w:pPr>
      <w:r>
        <w:rPr>
          <w:rFonts w:hint="eastAsia" w:ascii="Times New Roman" w:hAnsi="Times New Roman" w:eastAsia="仿宋_GB2312" w:cs="Times New Roman"/>
          <w:color w:val="000000"/>
          <w:sz w:val="32"/>
          <w:szCs w:val="32"/>
          <w:highlight w:val="none"/>
          <w:lang w:eastAsia="zh-CN"/>
        </w:rPr>
        <w:t>　　</w:t>
      </w:r>
      <w:r>
        <w:rPr>
          <w:rFonts w:hint="default" w:ascii="Times New Roman" w:hAnsi="Times New Roman" w:eastAsia="仿宋_GB2312" w:cs="Times New Roman"/>
          <w:color w:val="000000"/>
          <w:sz w:val="32"/>
          <w:szCs w:val="32"/>
          <w:highlight w:val="none"/>
        </w:rPr>
        <w:t>202</w:t>
      </w:r>
      <w:r>
        <w:rPr>
          <w:rFonts w:hint="eastAsia" w:ascii="Times New Roman" w:hAnsi="Times New Roman" w:eastAsia="仿宋_GB2312" w:cs="Times New Roman"/>
          <w:color w:val="000000"/>
          <w:sz w:val="32"/>
          <w:szCs w:val="32"/>
          <w:highlight w:val="none"/>
          <w:lang w:val="en-US" w:eastAsia="zh-CN"/>
        </w:rPr>
        <w:t>3</w:t>
      </w:r>
      <w:r>
        <w:rPr>
          <w:rFonts w:hint="default" w:ascii="Times New Roman" w:hAnsi="Times New Roman" w:eastAsia="仿宋_GB2312" w:cs="Times New Roman"/>
          <w:color w:val="000000"/>
          <w:sz w:val="32"/>
          <w:szCs w:val="32"/>
          <w:highlight w:val="none"/>
        </w:rPr>
        <w:t>年</w:t>
      </w:r>
      <w:r>
        <w:rPr>
          <w:rFonts w:hint="eastAsia" w:ascii="Times New Roman" w:hAnsi="Times New Roman" w:eastAsia="仿宋_GB2312" w:cs="Times New Roman"/>
          <w:color w:val="000000"/>
          <w:sz w:val="32"/>
          <w:szCs w:val="32"/>
          <w:highlight w:val="none"/>
          <w:lang w:eastAsia="zh-CN"/>
        </w:rPr>
        <w:t>，</w:t>
      </w:r>
      <w:r>
        <w:rPr>
          <w:rFonts w:hint="eastAsia" w:ascii="Times New Roman" w:hAnsi="Times New Roman" w:eastAsia="仿宋_GB2312" w:cs="Times New Roman"/>
          <w:color w:val="000000"/>
          <w:sz w:val="32"/>
          <w:szCs w:val="32"/>
          <w:highlight w:val="none"/>
          <w:lang w:val="en-US" w:eastAsia="zh-CN"/>
        </w:rPr>
        <w:t>我</w:t>
      </w:r>
      <w:r>
        <w:rPr>
          <w:rFonts w:hint="eastAsia" w:ascii="Times New Roman" w:hAnsi="Times New Roman" w:eastAsia="仿宋_GB2312" w:cs="Times New Roman"/>
          <w:color w:val="000000"/>
          <w:sz w:val="32"/>
          <w:szCs w:val="32"/>
          <w:highlight w:val="none"/>
          <w:lang w:eastAsia="zh-CN"/>
        </w:rPr>
        <w:t>局</w:t>
      </w:r>
      <w:r>
        <w:rPr>
          <w:rFonts w:hint="default" w:ascii="Times New Roman" w:hAnsi="Times New Roman" w:eastAsia="仿宋_GB2312" w:cs="Times New Roman"/>
          <w:color w:val="000000"/>
          <w:sz w:val="32"/>
          <w:szCs w:val="32"/>
          <w:highlight w:val="none"/>
        </w:rPr>
        <w:t>严格遵守各项规章制度，严格执行经费审批制度、报销程序，加强了经费支出的监督管理，实现了资金申请、审批、拨付、监督等全流程制度化管理；坚持经费预算科学化、精细化，执行控制规范化、责任化，监督检查常态化、同步化；资金使用没有截留、挪用、虚列支出、随意借用等情况；重大财务事项经由集体研究决策；专项资金做到专款专用；原始凭证的取得真实有效。部门预决算信息按规定内容，在规定的时限内予以公开。基础数据信息和会计信息资料真实、完整、准确。</w:t>
      </w:r>
    </w:p>
    <w:p>
      <w:pPr>
        <w:pStyle w:val="3"/>
        <w:keepNext w:val="0"/>
        <w:keepLines w:val="0"/>
        <w:pageBreakBefore w:val="0"/>
        <w:kinsoku/>
        <w:wordWrap/>
        <w:overflowPunct/>
        <w:topLinePunct w:val="0"/>
        <w:autoSpaceDE/>
        <w:autoSpaceDN/>
        <w:bidi w:val="0"/>
        <w:adjustRightInd/>
        <w:snapToGrid/>
        <w:spacing w:line="560" w:lineRule="exact"/>
        <w:ind w:left="0" w:leftChars="0" w:firstLine="640" w:firstLineChars="200"/>
        <w:jc w:val="both"/>
        <w:textAlignment w:val="auto"/>
        <w:rPr>
          <w:rFonts w:hint="default" w:ascii="Times New Roman" w:hAnsi="Times New Roman" w:eastAsia="仿宋_GB2312" w:cs="Times New Roman"/>
          <w:color w:val="000000"/>
          <w:kern w:val="0"/>
          <w:sz w:val="32"/>
          <w:szCs w:val="32"/>
          <w:lang w:val="en-US" w:eastAsia="zh-CN" w:bidi="ar-SA"/>
        </w:rPr>
      </w:pPr>
      <w:r>
        <w:rPr>
          <w:rFonts w:hint="eastAsia" w:ascii="仿宋_GB2312" w:hAnsi="仿宋_GB2312" w:eastAsia="仿宋_GB2312" w:cs="仿宋_GB2312"/>
          <w:kern w:val="44"/>
          <w:sz w:val="32"/>
          <w:szCs w:val="32"/>
          <w:lang w:val="en-US" w:eastAsia="zh-CN" w:bidi="ar"/>
        </w:rPr>
        <w:t>（二）履职产出效益方面</w:t>
      </w:r>
    </w:p>
    <w:p>
      <w:pPr>
        <w:pStyle w:val="10"/>
        <w:keepNext w:val="0"/>
        <w:keepLines w:val="0"/>
        <w:pageBreakBefore w:val="0"/>
        <w:widowControl/>
        <w:kinsoku/>
        <w:wordWrap/>
        <w:overflowPunct/>
        <w:topLinePunct w:val="0"/>
        <w:autoSpaceDE/>
        <w:autoSpaceDN/>
        <w:bidi w:val="0"/>
        <w:adjustRightInd/>
        <w:snapToGrid/>
        <w:spacing w:line="640" w:lineRule="exact"/>
        <w:ind w:left="0" w:leftChars="0" w:firstLine="640" w:firstLineChars="0"/>
        <w:jc w:val="both"/>
        <w:textAlignment w:val="auto"/>
        <w:rPr>
          <w:rFonts w:hint="eastAsia" w:ascii="Times New Roman" w:hAnsi="Times New Roman" w:eastAsia="仿宋_GB2312" w:cs="Times New Roman"/>
          <w:color w:val="000000"/>
          <w:sz w:val="32"/>
          <w:szCs w:val="32"/>
          <w:highlight w:val="none"/>
          <w:lang w:eastAsia="zh-CN"/>
        </w:rPr>
      </w:pPr>
      <w:r>
        <w:rPr>
          <w:rFonts w:hint="default" w:ascii="Times New Roman" w:hAnsi="Times New Roman" w:eastAsia="仿宋_GB2312" w:cs="Times New Roman"/>
          <w:color w:val="000000"/>
          <w:sz w:val="32"/>
          <w:szCs w:val="32"/>
          <w:highlight w:val="none"/>
        </w:rPr>
        <w:t>202</w:t>
      </w:r>
      <w:r>
        <w:rPr>
          <w:rFonts w:hint="eastAsia" w:ascii="Times New Roman" w:hAnsi="Times New Roman" w:eastAsia="仿宋_GB2312" w:cs="Times New Roman"/>
          <w:color w:val="000000"/>
          <w:sz w:val="32"/>
          <w:szCs w:val="32"/>
          <w:highlight w:val="none"/>
          <w:lang w:val="en-US" w:eastAsia="zh-CN"/>
        </w:rPr>
        <w:t>3</w:t>
      </w:r>
      <w:r>
        <w:rPr>
          <w:rFonts w:hint="default" w:ascii="Times New Roman" w:hAnsi="Times New Roman" w:eastAsia="仿宋_GB2312" w:cs="Times New Roman"/>
          <w:color w:val="000000"/>
          <w:sz w:val="32"/>
          <w:szCs w:val="32"/>
          <w:highlight w:val="none"/>
        </w:rPr>
        <w:t>年</w:t>
      </w:r>
      <w:r>
        <w:rPr>
          <w:rFonts w:hint="eastAsia" w:ascii="Times New Roman" w:hAnsi="Times New Roman" w:eastAsia="仿宋_GB2312" w:cs="Times New Roman"/>
          <w:color w:val="000000"/>
          <w:sz w:val="32"/>
          <w:szCs w:val="32"/>
          <w:highlight w:val="none"/>
          <w:lang w:eastAsia="zh-CN"/>
        </w:rPr>
        <w:t>，</w:t>
      </w:r>
      <w:r>
        <w:rPr>
          <w:rFonts w:hint="eastAsia" w:ascii="Times New Roman" w:hAnsi="Times New Roman" w:eastAsia="仿宋_GB2312" w:cs="Times New Roman"/>
          <w:color w:val="000000"/>
          <w:sz w:val="32"/>
          <w:szCs w:val="32"/>
          <w:highlight w:val="none"/>
          <w:lang w:val="en-US" w:eastAsia="zh-CN"/>
        </w:rPr>
        <w:t>我</w:t>
      </w:r>
      <w:r>
        <w:rPr>
          <w:rFonts w:hint="eastAsia" w:ascii="Times New Roman" w:hAnsi="Times New Roman" w:eastAsia="仿宋_GB2312" w:cs="Times New Roman"/>
          <w:color w:val="000000"/>
          <w:sz w:val="32"/>
          <w:szCs w:val="32"/>
          <w:highlight w:val="none"/>
          <w:lang w:eastAsia="zh-CN"/>
        </w:rPr>
        <w:t>局</w:t>
      </w:r>
      <w:r>
        <w:rPr>
          <w:rFonts w:hint="default" w:ascii="Times New Roman" w:hAnsi="Times New Roman" w:eastAsia="仿宋_GB2312" w:cs="Times New Roman"/>
          <w:color w:val="000000"/>
          <w:sz w:val="32"/>
          <w:szCs w:val="32"/>
          <w:highlight w:val="none"/>
        </w:rPr>
        <w:t>认真履行</w:t>
      </w:r>
      <w:r>
        <w:rPr>
          <w:rFonts w:hint="eastAsia" w:ascii="Times New Roman" w:hAnsi="Times New Roman" w:eastAsia="仿宋_GB2312" w:cs="Times New Roman"/>
          <w:color w:val="000000"/>
          <w:sz w:val="32"/>
          <w:szCs w:val="32"/>
          <w:highlight w:val="none"/>
          <w:lang w:eastAsia="zh-CN"/>
        </w:rPr>
        <w:t>部门职责</w:t>
      </w:r>
      <w:r>
        <w:rPr>
          <w:rFonts w:hint="default" w:ascii="Times New Roman" w:hAnsi="Times New Roman" w:eastAsia="仿宋_GB2312" w:cs="Times New Roman"/>
          <w:color w:val="000000"/>
          <w:sz w:val="32"/>
          <w:szCs w:val="32"/>
          <w:highlight w:val="none"/>
        </w:rPr>
        <w:t>，</w:t>
      </w:r>
      <w:r>
        <w:rPr>
          <w:rFonts w:hint="eastAsia" w:ascii="Times New Roman" w:hAnsi="Times New Roman" w:eastAsia="仿宋_GB2312" w:cs="Times New Roman"/>
          <w:color w:val="000000"/>
          <w:sz w:val="32"/>
          <w:szCs w:val="32"/>
          <w:highlight w:val="none"/>
          <w:lang w:eastAsia="zh-CN"/>
        </w:rPr>
        <w:t>履职情况如下：</w:t>
      </w:r>
    </w:p>
    <w:p>
      <w:pPr>
        <w:pStyle w:val="10"/>
        <w:keepNext w:val="0"/>
        <w:keepLines w:val="0"/>
        <w:pageBreakBefore w:val="0"/>
        <w:widowControl/>
        <w:numPr>
          <w:ilvl w:val="0"/>
          <w:numId w:val="5"/>
        </w:numPr>
        <w:kinsoku/>
        <w:wordWrap/>
        <w:overflowPunct/>
        <w:topLinePunct w:val="0"/>
        <w:autoSpaceDE/>
        <w:autoSpaceDN/>
        <w:bidi w:val="0"/>
        <w:adjustRightInd/>
        <w:snapToGrid/>
        <w:spacing w:line="640" w:lineRule="exact"/>
        <w:ind w:left="0" w:leftChars="0" w:firstLine="640" w:firstLineChars="0"/>
        <w:jc w:val="both"/>
        <w:textAlignment w:val="auto"/>
        <w:rPr>
          <w:rFonts w:hint="eastAsia" w:ascii="仿宋" w:hAnsi="仿宋" w:eastAsia="仿宋" w:cs="仿宋"/>
          <w:i w:val="0"/>
          <w:iCs w:val="0"/>
          <w:caps w:val="0"/>
          <w:color w:val="auto"/>
          <w:spacing w:val="0"/>
          <w:sz w:val="32"/>
          <w:szCs w:val="32"/>
          <w:shd w:val="clear" w:color="auto" w:fill="FFFFFF"/>
        </w:rPr>
      </w:pPr>
      <w:r>
        <w:rPr>
          <w:rFonts w:hint="eastAsia" w:ascii="仿宋_GB2312" w:hAnsi="仿宋_GB2312" w:eastAsia="仿宋_GB2312" w:cs="仿宋_GB2312"/>
          <w:kern w:val="0"/>
          <w:sz w:val="32"/>
          <w:szCs w:val="32"/>
          <w:lang w:val="en-US" w:eastAsia="zh-CN" w:bidi="ar-SA"/>
        </w:rPr>
        <w:t>在优抚褒扬工作上下功夫。全年</w:t>
      </w:r>
      <w:r>
        <w:rPr>
          <w:rFonts w:hint="eastAsia" w:ascii="仿宋" w:hAnsi="仿宋" w:eastAsia="仿宋" w:cs="仿宋"/>
          <w:color w:val="auto"/>
          <w:sz w:val="32"/>
          <w:szCs w:val="32"/>
        </w:rPr>
        <w:t>共发放抚恤优待资金</w:t>
      </w:r>
      <w:r>
        <w:rPr>
          <w:rFonts w:hint="eastAsia" w:ascii="仿宋" w:hAnsi="仿宋" w:eastAsia="仿宋" w:cs="仿宋"/>
          <w:color w:val="auto"/>
          <w:sz w:val="32"/>
          <w:szCs w:val="32"/>
          <w:lang w:val="en-US" w:eastAsia="zh-CN"/>
        </w:rPr>
        <w:t>1026</w:t>
      </w:r>
      <w:r>
        <w:rPr>
          <w:rFonts w:hint="eastAsia" w:ascii="仿宋" w:hAnsi="仿宋" w:eastAsia="仿宋" w:cs="仿宋"/>
          <w:color w:val="auto"/>
          <w:sz w:val="32"/>
          <w:szCs w:val="32"/>
        </w:rPr>
        <w:t>万元</w:t>
      </w: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lang w:val="en-US" w:eastAsia="zh-CN"/>
        </w:rPr>
        <w:t>发放人数1186人。做好各类优抚对象申报审批工作，残疾军人申报9人、评残公示6人、新增伤残人员6人、带病回乡退伍军人8人，60周岁农村籍退役士兵32人；</w:t>
      </w:r>
      <w:r>
        <w:rPr>
          <w:rFonts w:hint="eastAsia" w:ascii="仿宋_GB2312" w:hAnsi="仿宋_GB2312" w:eastAsia="仿宋_GB2312" w:cs="仿宋_GB2312"/>
          <w:kern w:val="0"/>
          <w:sz w:val="32"/>
          <w:szCs w:val="32"/>
          <w:lang w:val="en-US" w:eastAsia="zh-CN" w:bidi="ar-SA"/>
        </w:rPr>
        <w:t>全年</w:t>
      </w:r>
      <w:r>
        <w:rPr>
          <w:rFonts w:hint="eastAsia" w:ascii="仿宋" w:hAnsi="仿宋" w:eastAsia="仿宋" w:cs="仿宋"/>
          <w:sz w:val="32"/>
          <w:szCs w:val="32"/>
          <w:lang w:val="en-US" w:eastAsia="zh-CN"/>
        </w:rPr>
        <w:t>新兵入伍义务兵人数45人，发放2年义务兵家庭优待金153.6万元；优抚对象医疗住院报账人数210人，补助资金发放23.2万元。</w:t>
      </w:r>
      <w:r>
        <w:rPr>
          <w:rFonts w:hint="eastAsia" w:ascii="仿宋" w:hAnsi="仿宋" w:eastAsia="仿宋" w:cs="仿宋"/>
          <w:color w:val="auto"/>
          <w:sz w:val="32"/>
          <w:szCs w:val="32"/>
          <w:lang w:val="en-US" w:eastAsia="zh-CN"/>
        </w:rPr>
        <w:t>开展“纪念延安双拥运动80周年暨2023年春节慰问”活动、</w:t>
      </w:r>
      <w:r>
        <w:rPr>
          <w:rFonts w:hint="eastAsia" w:ascii="仿宋" w:hAnsi="仿宋" w:eastAsia="仿宋" w:cs="仿宋"/>
          <w:sz w:val="32"/>
          <w:szCs w:val="32"/>
          <w:lang w:val="en-US" w:eastAsia="zh-CN"/>
        </w:rPr>
        <w:t>“八一”建军节期间走访慰问活动</w:t>
      </w:r>
      <w:r>
        <w:rPr>
          <w:rFonts w:hint="eastAsia" w:ascii="仿宋" w:hAnsi="仿宋" w:eastAsia="仿宋" w:cs="仿宋"/>
          <w:color w:val="auto"/>
          <w:sz w:val="32"/>
          <w:szCs w:val="32"/>
          <w:lang w:val="en-US" w:eastAsia="zh-CN"/>
        </w:rPr>
        <w:t>。</w:t>
      </w:r>
      <w:r>
        <w:rPr>
          <w:rFonts w:hint="eastAsia" w:ascii="仿宋" w:hAnsi="仿宋" w:eastAsia="仿宋" w:cs="仿宋"/>
          <w:sz w:val="32"/>
          <w:szCs w:val="32"/>
        </w:rPr>
        <w:t>区委、区政府领导对驻区部队</w:t>
      </w:r>
      <w:r>
        <w:rPr>
          <w:rFonts w:hint="eastAsia" w:ascii="仿宋" w:hAnsi="仿宋" w:eastAsia="仿宋" w:cs="仿宋"/>
          <w:sz w:val="32"/>
          <w:szCs w:val="32"/>
          <w:lang w:eastAsia="zh-CN"/>
        </w:rPr>
        <w:t>官兵及退役军人志愿者服务中队进行慰问，并发放慰问物资</w:t>
      </w:r>
      <w:r>
        <w:rPr>
          <w:rFonts w:hint="eastAsia" w:ascii="仿宋" w:hAnsi="仿宋" w:eastAsia="仿宋" w:cs="仿宋"/>
          <w:sz w:val="32"/>
          <w:szCs w:val="32"/>
          <w:lang w:val="en-US" w:eastAsia="zh-CN"/>
        </w:rPr>
        <w:t>20万元。</w:t>
      </w:r>
      <w:r>
        <w:rPr>
          <w:rFonts w:hint="eastAsia" w:ascii="仿宋" w:hAnsi="仿宋" w:eastAsia="仿宋" w:cs="仿宋"/>
          <w:color w:val="auto"/>
          <w:kern w:val="2"/>
          <w:sz w:val="32"/>
          <w:szCs w:val="32"/>
          <w:lang w:val="en-US" w:eastAsia="zh-CN" w:bidi="ar-SA"/>
        </w:rPr>
        <w:t>走访慰问困难退役军人、孤老优</w:t>
      </w:r>
      <w:r>
        <w:rPr>
          <w:rFonts w:hint="eastAsia" w:ascii="仿宋" w:hAnsi="仿宋" w:eastAsia="仿宋" w:cs="仿宋"/>
          <w:i w:val="0"/>
          <w:iCs w:val="0"/>
          <w:caps w:val="0"/>
          <w:color w:val="auto"/>
          <w:spacing w:val="0"/>
          <w:sz w:val="32"/>
          <w:szCs w:val="32"/>
          <w:shd w:val="clear" w:color="auto" w:fill="FFFFFF"/>
        </w:rPr>
        <w:t>抚对象、烈士遗属、</w:t>
      </w:r>
      <w:r>
        <w:rPr>
          <w:rFonts w:hint="eastAsia" w:ascii="仿宋" w:hAnsi="仿宋" w:eastAsia="仿宋" w:cs="仿宋"/>
          <w:i w:val="0"/>
          <w:iCs w:val="0"/>
          <w:caps w:val="0"/>
          <w:color w:val="auto"/>
          <w:spacing w:val="0"/>
          <w:sz w:val="32"/>
          <w:szCs w:val="32"/>
          <w:shd w:val="clear" w:color="auto" w:fill="FFFFFF"/>
          <w:lang w:eastAsia="zh-CN"/>
        </w:rPr>
        <w:t>功勋模范人员、</w:t>
      </w:r>
      <w:r>
        <w:rPr>
          <w:rFonts w:hint="eastAsia" w:ascii="仿宋" w:hAnsi="仿宋" w:eastAsia="仿宋" w:cs="仿宋"/>
          <w:i w:val="0"/>
          <w:iCs w:val="0"/>
          <w:caps w:val="0"/>
          <w:color w:val="auto"/>
          <w:spacing w:val="0"/>
          <w:sz w:val="32"/>
          <w:szCs w:val="32"/>
          <w:shd w:val="clear" w:color="auto" w:fill="FFFFFF"/>
        </w:rPr>
        <w:t>边海防现役军人家属共</w:t>
      </w:r>
      <w:r>
        <w:rPr>
          <w:rFonts w:hint="eastAsia" w:ascii="仿宋" w:hAnsi="仿宋" w:eastAsia="仿宋" w:cs="仿宋"/>
          <w:i w:val="0"/>
          <w:iCs w:val="0"/>
          <w:caps w:val="0"/>
          <w:color w:val="auto"/>
          <w:spacing w:val="0"/>
          <w:sz w:val="32"/>
          <w:szCs w:val="32"/>
          <w:shd w:val="clear" w:color="auto" w:fill="FFFFFF"/>
          <w:lang w:val="en-US" w:eastAsia="zh-CN"/>
        </w:rPr>
        <w:t>1214</w:t>
      </w:r>
      <w:r>
        <w:rPr>
          <w:rFonts w:hint="eastAsia" w:ascii="仿宋" w:hAnsi="仿宋" w:eastAsia="仿宋" w:cs="仿宋"/>
          <w:i w:val="0"/>
          <w:iCs w:val="0"/>
          <w:caps w:val="0"/>
          <w:color w:val="auto"/>
          <w:spacing w:val="0"/>
          <w:sz w:val="32"/>
          <w:szCs w:val="32"/>
          <w:shd w:val="clear" w:color="auto" w:fill="FFFFFF"/>
          <w:lang w:eastAsia="zh-CN"/>
        </w:rPr>
        <w:t>人</w:t>
      </w:r>
      <w:r>
        <w:rPr>
          <w:rFonts w:hint="eastAsia" w:ascii="仿宋" w:hAnsi="仿宋" w:eastAsia="仿宋" w:cs="仿宋"/>
          <w:i w:val="0"/>
          <w:iCs w:val="0"/>
          <w:caps w:val="0"/>
          <w:color w:val="auto"/>
          <w:spacing w:val="0"/>
          <w:sz w:val="32"/>
          <w:szCs w:val="32"/>
          <w:shd w:val="clear" w:color="auto" w:fill="FFFFFF"/>
        </w:rPr>
        <w:t>。</w:t>
      </w:r>
    </w:p>
    <w:p>
      <w:pPr>
        <w:pStyle w:val="10"/>
        <w:keepNext w:val="0"/>
        <w:keepLines w:val="0"/>
        <w:pageBreakBefore w:val="0"/>
        <w:widowControl/>
        <w:numPr>
          <w:ilvl w:val="0"/>
          <w:numId w:val="5"/>
        </w:numPr>
        <w:kinsoku/>
        <w:wordWrap/>
        <w:overflowPunct/>
        <w:topLinePunct w:val="0"/>
        <w:autoSpaceDE/>
        <w:autoSpaceDN/>
        <w:bidi w:val="0"/>
        <w:adjustRightInd/>
        <w:snapToGrid/>
        <w:spacing w:line="640" w:lineRule="exact"/>
        <w:ind w:left="0" w:leftChars="0" w:firstLine="640" w:firstLineChars="0"/>
        <w:jc w:val="both"/>
        <w:textAlignment w:val="auto"/>
        <w:rPr>
          <w:rFonts w:hint="eastAsia" w:ascii="仿宋" w:hAnsi="仿宋" w:eastAsia="仿宋" w:cs="仿宋"/>
          <w:color w:val="auto"/>
          <w:kern w:val="2"/>
          <w:sz w:val="32"/>
          <w:szCs w:val="32"/>
          <w:lang w:eastAsia="zh-CN"/>
        </w:rPr>
      </w:pPr>
      <w:r>
        <w:rPr>
          <w:rFonts w:hint="eastAsia" w:ascii="仿宋" w:hAnsi="仿宋" w:eastAsia="仿宋" w:cs="仿宋"/>
          <w:color w:val="auto"/>
          <w:kern w:val="2"/>
          <w:sz w:val="32"/>
          <w:szCs w:val="32"/>
          <w:lang w:val="en-US" w:eastAsia="zh-CN" w:bidi="ar-SA"/>
        </w:rPr>
        <w:t>在安置就业工作上见成效。</w:t>
      </w:r>
      <w:r>
        <w:rPr>
          <w:rFonts w:hint="eastAsia" w:ascii="仿宋" w:hAnsi="仿宋" w:eastAsia="仿宋" w:cs="仿宋"/>
          <w:color w:val="auto"/>
          <w:kern w:val="2"/>
          <w:sz w:val="32"/>
          <w:szCs w:val="32"/>
        </w:rPr>
        <w:t>做好企业军转干和</w:t>
      </w:r>
      <w:r>
        <w:rPr>
          <w:rFonts w:hint="eastAsia" w:ascii="仿宋" w:hAnsi="仿宋" w:eastAsia="仿宋" w:cs="仿宋"/>
          <w:color w:val="auto"/>
          <w:kern w:val="2"/>
          <w:sz w:val="32"/>
          <w:szCs w:val="32"/>
          <w:lang w:eastAsia="zh-CN"/>
        </w:rPr>
        <w:t>企业</w:t>
      </w:r>
    </w:p>
    <w:p>
      <w:pPr>
        <w:pStyle w:val="10"/>
        <w:keepNext w:val="0"/>
        <w:keepLines w:val="0"/>
        <w:pageBreakBefore w:val="0"/>
        <w:widowControl/>
        <w:numPr>
          <w:ilvl w:val="0"/>
          <w:numId w:val="0"/>
        </w:numPr>
        <w:kinsoku/>
        <w:wordWrap/>
        <w:overflowPunct/>
        <w:topLinePunct w:val="0"/>
        <w:autoSpaceDE/>
        <w:autoSpaceDN/>
        <w:bidi w:val="0"/>
        <w:adjustRightInd/>
        <w:snapToGrid/>
        <w:spacing w:line="640" w:lineRule="exact"/>
        <w:jc w:val="both"/>
        <w:textAlignment w:val="auto"/>
        <w:rPr>
          <w:rFonts w:hint="eastAsia" w:ascii="仿宋" w:hAnsi="仿宋" w:eastAsia="仿宋" w:cs="仿宋"/>
          <w:color w:val="auto"/>
          <w:kern w:val="2"/>
          <w:sz w:val="32"/>
          <w:szCs w:val="32"/>
          <w:lang w:val="en-US" w:eastAsia="zh-CN"/>
        </w:rPr>
      </w:pPr>
      <w:r>
        <w:rPr>
          <w:rFonts w:hint="eastAsia" w:ascii="仿宋" w:hAnsi="仿宋" w:eastAsia="仿宋" w:cs="仿宋"/>
          <w:color w:val="auto"/>
          <w:kern w:val="2"/>
          <w:sz w:val="32"/>
          <w:szCs w:val="32"/>
          <w:lang w:eastAsia="zh-CN"/>
        </w:rPr>
        <w:t>退休士兵</w:t>
      </w:r>
      <w:r>
        <w:rPr>
          <w:rFonts w:hint="eastAsia" w:ascii="仿宋" w:hAnsi="仿宋" w:eastAsia="仿宋" w:cs="仿宋"/>
          <w:color w:val="auto"/>
          <w:kern w:val="2"/>
          <w:sz w:val="32"/>
          <w:szCs w:val="32"/>
        </w:rPr>
        <w:t>202</w:t>
      </w:r>
      <w:r>
        <w:rPr>
          <w:rFonts w:hint="eastAsia" w:ascii="仿宋" w:hAnsi="仿宋" w:eastAsia="仿宋" w:cs="仿宋"/>
          <w:color w:val="auto"/>
          <w:kern w:val="2"/>
          <w:sz w:val="32"/>
          <w:szCs w:val="32"/>
          <w:lang w:val="en-US" w:eastAsia="zh-CN"/>
        </w:rPr>
        <w:t>3</w:t>
      </w:r>
      <w:r>
        <w:rPr>
          <w:rFonts w:hint="eastAsia" w:ascii="仿宋" w:hAnsi="仿宋" w:eastAsia="仿宋" w:cs="仿宋"/>
          <w:color w:val="auto"/>
          <w:kern w:val="2"/>
          <w:sz w:val="32"/>
          <w:szCs w:val="32"/>
        </w:rPr>
        <w:t>年困难补助发放</w:t>
      </w:r>
      <w:r>
        <w:rPr>
          <w:rFonts w:hint="eastAsia" w:ascii="仿宋" w:hAnsi="仿宋" w:eastAsia="仿宋" w:cs="仿宋"/>
          <w:color w:val="auto"/>
          <w:kern w:val="2"/>
          <w:sz w:val="32"/>
          <w:szCs w:val="32"/>
          <w:lang w:eastAsia="zh-CN"/>
        </w:rPr>
        <w:t>，目前共</w:t>
      </w:r>
      <w:r>
        <w:rPr>
          <w:rFonts w:hint="eastAsia" w:ascii="仿宋" w:hAnsi="仿宋" w:eastAsia="仿宋" w:cs="仿宋"/>
          <w:color w:val="auto"/>
          <w:kern w:val="2"/>
          <w:sz w:val="32"/>
          <w:szCs w:val="32"/>
        </w:rPr>
        <w:t>发</w:t>
      </w:r>
      <w:r>
        <w:rPr>
          <w:rFonts w:hint="eastAsia" w:ascii="仿宋" w:hAnsi="仿宋" w:eastAsia="仿宋" w:cs="仿宋"/>
          <w:color w:val="auto"/>
          <w:kern w:val="2"/>
          <w:sz w:val="32"/>
          <w:szCs w:val="32"/>
          <w:lang w:eastAsia="zh-CN"/>
        </w:rPr>
        <w:t>放</w:t>
      </w:r>
      <w:r>
        <w:rPr>
          <w:rFonts w:hint="eastAsia" w:ascii="仿宋" w:hAnsi="仿宋" w:eastAsia="仿宋" w:cs="仿宋"/>
          <w:color w:val="auto"/>
          <w:kern w:val="2"/>
          <w:sz w:val="32"/>
          <w:szCs w:val="32"/>
        </w:rPr>
        <w:t>困难补助</w:t>
      </w:r>
      <w:r>
        <w:rPr>
          <w:rFonts w:hint="eastAsia" w:ascii="仿宋" w:hAnsi="仿宋" w:eastAsia="仿宋" w:cs="仿宋"/>
          <w:color w:val="auto"/>
          <w:kern w:val="2"/>
          <w:sz w:val="32"/>
          <w:szCs w:val="32"/>
          <w:lang w:eastAsia="zh-CN"/>
        </w:rPr>
        <w:t>及住院救助金、节日慰问金</w:t>
      </w:r>
      <w:r>
        <w:rPr>
          <w:rFonts w:hint="eastAsia" w:ascii="仿宋" w:hAnsi="仿宋" w:eastAsia="仿宋" w:cs="仿宋"/>
          <w:color w:val="auto"/>
          <w:kern w:val="2"/>
          <w:sz w:val="32"/>
          <w:szCs w:val="32"/>
          <w:lang w:val="en-US" w:eastAsia="zh-CN"/>
        </w:rPr>
        <w:t>23.19</w:t>
      </w:r>
      <w:r>
        <w:rPr>
          <w:rFonts w:hint="eastAsia" w:ascii="仿宋" w:hAnsi="仿宋" w:eastAsia="仿宋" w:cs="仿宋"/>
          <w:color w:val="auto"/>
          <w:kern w:val="2"/>
          <w:sz w:val="32"/>
          <w:szCs w:val="32"/>
        </w:rPr>
        <w:t>万元</w:t>
      </w:r>
      <w:r>
        <w:rPr>
          <w:rFonts w:hint="eastAsia" w:ascii="仿宋" w:hAnsi="仿宋" w:eastAsia="仿宋" w:cs="仿宋"/>
          <w:color w:val="auto"/>
          <w:kern w:val="2"/>
          <w:sz w:val="32"/>
          <w:szCs w:val="32"/>
          <w:lang w:eastAsia="zh-CN"/>
        </w:rPr>
        <w:t>。做好军休士官的服务保障工作。我区接收军休士官</w:t>
      </w:r>
      <w:r>
        <w:rPr>
          <w:rFonts w:hint="eastAsia" w:ascii="仿宋" w:hAnsi="仿宋" w:eastAsia="仿宋" w:cs="仿宋"/>
          <w:color w:val="auto"/>
          <w:kern w:val="2"/>
          <w:sz w:val="32"/>
          <w:szCs w:val="32"/>
          <w:lang w:val="en-US" w:eastAsia="zh-CN"/>
        </w:rPr>
        <w:t>1名，每月按时发放其退休金与护理费，并上门走访慰问。</w:t>
      </w:r>
      <w:r>
        <w:rPr>
          <w:rFonts w:hint="eastAsia" w:ascii="仿宋" w:hAnsi="仿宋" w:eastAsia="仿宋" w:cs="仿宋"/>
          <w:color w:val="auto"/>
          <w:kern w:val="2"/>
          <w:sz w:val="32"/>
          <w:szCs w:val="32"/>
        </w:rPr>
        <w:t>全力做好退役军人就业创业与安置工作。</w:t>
      </w:r>
      <w:r>
        <w:rPr>
          <w:rFonts w:hint="eastAsia" w:ascii="仿宋" w:hAnsi="仿宋" w:eastAsia="仿宋" w:cs="仿宋"/>
          <w:color w:val="auto"/>
          <w:kern w:val="2"/>
          <w:sz w:val="32"/>
          <w:szCs w:val="32"/>
          <w:lang w:eastAsia="zh-CN"/>
        </w:rPr>
        <w:t>2023年组织退役军人参加了人社局开展的的“春风行动”和民营企业招聘会，有38名退役军人参加，5人达成就业意向。组织60名退役军人参加了市退役军人事务局组织的退役军人暨家属（环洞庭湖片区）专场招聘会，1人达成就业意向。</w:t>
      </w:r>
      <w:r>
        <w:rPr>
          <w:rFonts w:hint="eastAsia" w:ascii="仿宋" w:hAnsi="仿宋" w:eastAsia="仿宋" w:cs="仿宋"/>
          <w:color w:val="auto"/>
          <w:kern w:val="2"/>
          <w:sz w:val="32"/>
          <w:szCs w:val="32"/>
          <w:lang w:val="en-US" w:eastAsia="zh-CN"/>
        </w:rPr>
        <w:t>为6名退役老兵提供公益性岗位。目前有3</w:t>
      </w:r>
      <w:r>
        <w:rPr>
          <w:rFonts w:hint="eastAsia" w:ascii="仿宋" w:hAnsi="仿宋" w:eastAsia="仿宋" w:cs="仿宋"/>
          <w:color w:val="auto"/>
          <w:kern w:val="2"/>
          <w:sz w:val="32"/>
          <w:szCs w:val="32"/>
          <w:lang w:eastAsia="zh-CN"/>
        </w:rPr>
        <w:t>名</w:t>
      </w:r>
      <w:r>
        <w:rPr>
          <w:rFonts w:hint="eastAsia" w:ascii="仿宋" w:hAnsi="仿宋" w:eastAsia="仿宋" w:cs="仿宋"/>
          <w:color w:val="auto"/>
          <w:kern w:val="2"/>
          <w:sz w:val="32"/>
          <w:szCs w:val="32"/>
        </w:rPr>
        <w:t>退役士兵参加高职单招</w:t>
      </w:r>
      <w:r>
        <w:rPr>
          <w:rFonts w:hint="eastAsia" w:ascii="仿宋" w:hAnsi="仿宋" w:eastAsia="仿宋" w:cs="仿宋"/>
          <w:color w:val="auto"/>
          <w:kern w:val="2"/>
          <w:sz w:val="32"/>
          <w:szCs w:val="32"/>
          <w:lang w:eastAsia="zh-CN"/>
        </w:rPr>
        <w:t>考试，</w:t>
      </w:r>
      <w:r>
        <w:rPr>
          <w:rFonts w:hint="eastAsia" w:ascii="仿宋" w:hAnsi="仿宋" w:eastAsia="仿宋" w:cs="仿宋"/>
          <w:color w:val="auto"/>
          <w:kern w:val="2"/>
          <w:sz w:val="32"/>
          <w:szCs w:val="32"/>
          <w:lang w:val="en-US" w:eastAsia="zh-CN"/>
        </w:rPr>
        <w:t>4</w:t>
      </w:r>
      <w:r>
        <w:rPr>
          <w:rFonts w:hint="eastAsia" w:ascii="仿宋" w:hAnsi="仿宋" w:eastAsia="仿宋" w:cs="仿宋"/>
          <w:color w:val="auto"/>
          <w:kern w:val="2"/>
          <w:sz w:val="32"/>
          <w:szCs w:val="32"/>
        </w:rPr>
        <w:t>名退役士兵参加技能培训。</w:t>
      </w:r>
      <w:r>
        <w:rPr>
          <w:rFonts w:hint="eastAsia" w:ascii="仿宋" w:hAnsi="仿宋" w:eastAsia="仿宋" w:cs="仿宋"/>
          <w:color w:val="auto"/>
          <w:kern w:val="2"/>
          <w:sz w:val="32"/>
          <w:szCs w:val="32"/>
          <w:lang w:eastAsia="zh-CN"/>
        </w:rPr>
        <w:t>并发放</w:t>
      </w:r>
      <w:r>
        <w:rPr>
          <w:rFonts w:hint="eastAsia" w:ascii="仿宋" w:hAnsi="仿宋" w:eastAsia="仿宋" w:cs="仿宋"/>
          <w:color w:val="auto"/>
          <w:kern w:val="2"/>
          <w:sz w:val="32"/>
          <w:szCs w:val="32"/>
          <w:lang w:val="en-US" w:eastAsia="zh-CN"/>
        </w:rPr>
        <w:t>2022年度和2023年3月自主就业退役士兵一次性经济补助100.58万元。</w:t>
      </w:r>
    </w:p>
    <w:p>
      <w:pPr>
        <w:pStyle w:val="4"/>
        <w:keepNext w:val="0"/>
        <w:keepLines w:val="0"/>
        <w:pageBreakBefore w:val="0"/>
        <w:widowControl w:val="0"/>
        <w:numPr>
          <w:ilvl w:val="0"/>
          <w:numId w:val="5"/>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640" w:lineRule="exact"/>
        <w:ind w:left="0" w:leftChars="0" w:right="0" w:firstLine="640" w:firstLineChars="0"/>
        <w:jc w:val="left"/>
        <w:textAlignment w:val="bottom"/>
        <w:rPr>
          <w:rFonts w:hint="eastAsia" w:ascii="仿宋" w:hAnsi="仿宋" w:eastAsia="仿宋" w:cs="仿宋"/>
          <w:color w:val="auto"/>
          <w:sz w:val="32"/>
          <w:szCs w:val="32"/>
          <w:lang w:val="en-US" w:eastAsia="zh-CN"/>
        </w:rPr>
      </w:pPr>
      <w:r>
        <w:rPr>
          <w:rFonts w:hint="eastAsia" w:ascii="仿宋" w:hAnsi="仿宋" w:eastAsia="仿宋" w:cs="仿宋"/>
          <w:color w:val="auto"/>
          <w:kern w:val="2"/>
          <w:sz w:val="32"/>
          <w:szCs w:val="32"/>
          <w:lang w:val="en-US" w:eastAsia="zh-CN"/>
        </w:rPr>
        <w:t>在服务保障工作上求突破。</w:t>
      </w:r>
      <w:r>
        <w:rPr>
          <w:rFonts w:hint="eastAsia" w:ascii="仿宋" w:hAnsi="仿宋" w:eastAsia="仿宋" w:cs="仿宋"/>
          <w:color w:val="auto"/>
          <w:sz w:val="32"/>
          <w:szCs w:val="32"/>
          <w:lang w:val="en-US" w:eastAsia="zh-CN"/>
        </w:rPr>
        <w:t>全年帮扶救助退役军人和其他优抚对象165余名。上门走访慰问，为联系105名退役军人送去慰问金及慰问品。上门为在部队荣立三等功的13名现役军人代表和30名“四有”优秀士兵代表家属们送去立功喜报。系统管理退役军人及优抚对象一共4308人，其中3586人审核通过，15人待审核，677待更新（历史数据审核通过），30人待更新（历史数据未审核）。</w:t>
      </w:r>
    </w:p>
    <w:p>
      <w:pPr>
        <w:pStyle w:val="4"/>
        <w:keepNext w:val="0"/>
        <w:keepLines w:val="0"/>
        <w:pageBreakBefore w:val="0"/>
        <w:widowControl w:val="0"/>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640" w:lineRule="exact"/>
        <w:ind w:left="0" w:right="0" w:firstLine="600"/>
        <w:jc w:val="left"/>
        <w:textAlignment w:val="bottom"/>
        <w:rPr>
          <w:rFonts w:hint="default" w:ascii="仿宋" w:hAnsi="仿宋" w:eastAsia="仿宋"/>
          <w:color w:val="auto"/>
          <w:sz w:val="32"/>
          <w:szCs w:val="32"/>
          <w:lang w:val="en-US"/>
        </w:rPr>
      </w:pPr>
      <w:r>
        <w:rPr>
          <w:rFonts w:hint="eastAsia" w:eastAsia="仿宋" w:cs="仿宋"/>
          <w:color w:val="auto"/>
          <w:sz w:val="32"/>
          <w:szCs w:val="32"/>
          <w:lang w:val="en-US" w:eastAsia="zh-CN"/>
        </w:rPr>
        <w:t>4、</w:t>
      </w:r>
      <w:r>
        <w:rPr>
          <w:rFonts w:hint="eastAsia" w:ascii="仿宋" w:hAnsi="仿宋" w:eastAsia="仿宋" w:cs="仿宋"/>
          <w:color w:val="auto"/>
          <w:kern w:val="2"/>
          <w:sz w:val="32"/>
          <w:szCs w:val="32"/>
          <w:lang w:val="en-US" w:eastAsia="zh-CN"/>
        </w:rPr>
        <w:t>在双拥建设工作上有创新。</w:t>
      </w:r>
      <w:r>
        <w:rPr>
          <w:rFonts w:hint="eastAsia" w:ascii="仿宋" w:hAnsi="仿宋" w:eastAsia="仿宋" w:cs="仿宋"/>
          <w:color w:val="auto"/>
          <w:sz w:val="32"/>
          <w:szCs w:val="32"/>
          <w:lang w:val="en-US" w:eastAsia="zh-CN"/>
        </w:rPr>
        <w:t>“八一”期间</w:t>
      </w:r>
      <w:r>
        <w:rPr>
          <w:rFonts w:hint="eastAsia" w:ascii="仿宋_GB2312" w:hAnsi="仿宋_GB2312" w:eastAsia="仿宋_GB2312" w:cs="仿宋_GB2312"/>
          <w:color w:val="auto"/>
          <w:kern w:val="2"/>
          <w:sz w:val="32"/>
          <w:szCs w:val="32"/>
          <w:lang w:val="en-US" w:eastAsia="zh-CN" w:bidi="ar-SA"/>
        </w:rPr>
        <w:t>我局每周推出一篇退役军人“每周一星”系列报道，共推出八期，宣传我区优秀退役军人事迹。</w:t>
      </w:r>
      <w:r>
        <w:rPr>
          <w:rFonts w:hint="eastAsia" w:ascii="仿宋" w:hAnsi="仿宋" w:eastAsia="仿宋" w:cs="仿宋"/>
          <w:i w:val="0"/>
          <w:iCs w:val="0"/>
          <w:caps w:val="0"/>
          <w:color w:val="auto"/>
          <w:spacing w:val="0"/>
          <w:sz w:val="32"/>
          <w:szCs w:val="32"/>
          <w:shd w:val="clear" w:color="auto" w:fill="FFFFFF"/>
          <w:lang w:eastAsia="zh-CN"/>
        </w:rPr>
        <w:t>认真做好迎接第十一届省双拥模范城创建示范考评工作。</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640" w:lineRule="exact"/>
        <w:ind w:left="640" w:leftChars="0" w:right="0" w:rightChars="0"/>
        <w:jc w:val="left"/>
        <w:textAlignment w:val="bottom"/>
        <w:rPr>
          <w:rFonts w:hint="eastAsia" w:ascii="仿宋" w:hAnsi="仿宋" w:eastAsia="仿宋" w:cstheme="minorBidi"/>
          <w:color w:val="auto"/>
          <w:kern w:val="0"/>
          <w:sz w:val="32"/>
          <w:szCs w:val="32"/>
          <w:lang w:val="en-US" w:eastAsia="zh-CN" w:bidi="ar-SA"/>
        </w:rPr>
      </w:pPr>
      <w:r>
        <w:rPr>
          <w:rFonts w:hint="eastAsia" w:eastAsia="仿宋" w:cs="仿宋"/>
          <w:color w:val="auto"/>
          <w:sz w:val="32"/>
          <w:szCs w:val="32"/>
          <w:lang w:val="en-US" w:eastAsia="zh-CN"/>
        </w:rPr>
        <w:t>5、</w:t>
      </w:r>
      <w:r>
        <w:rPr>
          <w:rFonts w:hint="eastAsia" w:ascii="仿宋_GB2312" w:hAnsi="仿宋_GB2312" w:eastAsia="仿宋_GB2312" w:cs="仿宋_GB2312"/>
          <w:color w:val="auto"/>
          <w:kern w:val="2"/>
          <w:sz w:val="32"/>
          <w:szCs w:val="32"/>
          <w:lang w:val="en-US" w:eastAsia="zh-CN" w:bidi="ar-SA"/>
        </w:rPr>
        <w:t>在志愿服务工作上出实招。</w:t>
      </w:r>
      <w:r>
        <w:rPr>
          <w:rFonts w:hint="eastAsia" w:ascii="仿宋" w:hAnsi="仿宋" w:eastAsia="仿宋" w:cstheme="minorBidi"/>
          <w:color w:val="auto"/>
          <w:kern w:val="0"/>
          <w:sz w:val="32"/>
          <w:szCs w:val="32"/>
          <w:lang w:val="en-US" w:eastAsia="zh-CN" w:bidi="ar-SA"/>
        </w:rPr>
        <w:t>3月区退役军人志愿者服</w:t>
      </w:r>
    </w:p>
    <w:p>
      <w:pPr>
        <w:pStyle w:val="4"/>
        <w:keepNext w:val="0"/>
        <w:keepLines w:val="0"/>
        <w:pageBreakBefore w:val="0"/>
        <w:widowControl w:val="0"/>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spacing w:before="0" w:beforeAutospacing="0" w:after="0" w:afterAutospacing="0" w:line="640" w:lineRule="exact"/>
        <w:ind w:right="0" w:rightChars="0"/>
        <w:jc w:val="left"/>
        <w:textAlignment w:val="bottom"/>
        <w:rPr>
          <w:rFonts w:hint="eastAsia" w:ascii="Times New Roman" w:hAnsi="Times New Roman" w:eastAsia="黑体" w:cs="Times New Roman"/>
          <w:sz w:val="32"/>
          <w:szCs w:val="32"/>
          <w:highlight w:val="none"/>
          <w:lang w:eastAsia="zh-CN"/>
        </w:rPr>
      </w:pPr>
      <w:r>
        <w:rPr>
          <w:rFonts w:hint="eastAsia" w:ascii="仿宋" w:hAnsi="仿宋" w:eastAsia="仿宋" w:cstheme="minorBidi"/>
          <w:color w:val="auto"/>
          <w:kern w:val="0"/>
          <w:sz w:val="32"/>
          <w:szCs w:val="32"/>
          <w:lang w:val="en-US" w:eastAsia="zh-CN" w:bidi="ar-SA"/>
        </w:rPr>
        <w:t>务中队与区税务局退役军人志愿者服务分队组织志愿者走进君山区层山敬老院、君山区光荣院，开展“献一片爱心 送一份小温暖”学雷锋关爱养老院老人志愿服务活动；5月组织十余名退役军人志愿者在华龙码头开展净滩行动，进一步扛牢了“守护好一江碧水”的政治责任，营造了干净、整洁的君山面貌。9月动员组织退役军人志愿者服务队在君山小学开展护学行动</w:t>
      </w:r>
      <w:r>
        <w:rPr>
          <w:rFonts w:hint="eastAsia" w:eastAsia="仿宋" w:cstheme="minorBidi"/>
          <w:color w:val="auto"/>
          <w:kern w:val="0"/>
          <w:sz w:val="32"/>
          <w:szCs w:val="32"/>
          <w:lang w:val="en-US" w:eastAsia="zh-CN" w:bidi="ar-SA"/>
        </w:rPr>
        <w:t>。</w:t>
      </w:r>
    </w:p>
    <w:p>
      <w:pPr>
        <w:keepNext w:val="0"/>
        <w:keepLines w:val="0"/>
        <w:pageBreakBefore w:val="0"/>
        <w:widowControl/>
        <w:numPr>
          <w:ilvl w:val="0"/>
          <w:numId w:val="0"/>
        </w:numPr>
        <w:kinsoku/>
        <w:wordWrap/>
        <w:overflowPunct/>
        <w:topLinePunct w:val="0"/>
        <w:autoSpaceDE/>
        <w:autoSpaceDN/>
        <w:bidi w:val="0"/>
        <w:adjustRightInd/>
        <w:snapToGrid/>
        <w:spacing w:line="640" w:lineRule="exact"/>
        <w:ind w:firstLine="640"/>
        <w:jc w:val="both"/>
        <w:textAlignment w:val="auto"/>
        <w:rPr>
          <w:rFonts w:hint="default" w:ascii="Times New Roman" w:hAnsi="Times New Roman" w:eastAsia="黑体" w:cs="Times New Roman"/>
          <w:sz w:val="32"/>
          <w:szCs w:val="32"/>
          <w:highlight w:val="none"/>
          <w:lang w:eastAsia="zh-CN"/>
        </w:rPr>
      </w:pPr>
      <w:r>
        <w:rPr>
          <w:rFonts w:hint="eastAsia" w:ascii="Times New Roman" w:hAnsi="Times New Roman" w:eastAsia="黑体" w:cs="Times New Roman"/>
          <w:sz w:val="32"/>
          <w:szCs w:val="32"/>
          <w:highlight w:val="none"/>
          <w:lang w:eastAsia="zh-CN"/>
        </w:rPr>
        <w:t>六、</w:t>
      </w:r>
      <w:r>
        <w:rPr>
          <w:rFonts w:hint="default" w:ascii="Times New Roman" w:hAnsi="Times New Roman" w:eastAsia="黑体" w:cs="Times New Roman"/>
          <w:sz w:val="32"/>
          <w:szCs w:val="32"/>
          <w:highlight w:val="none"/>
          <w:lang w:eastAsia="zh-CN"/>
        </w:rPr>
        <w:t>存在的问题及原因分析</w:t>
      </w:r>
    </w:p>
    <w:p>
      <w:pPr>
        <w:keepNext w:val="0"/>
        <w:keepLines w:val="0"/>
        <w:pageBreakBefore w:val="0"/>
        <w:widowControl/>
        <w:numPr>
          <w:ilvl w:val="0"/>
          <w:numId w:val="0"/>
        </w:numPr>
        <w:kinsoku/>
        <w:wordWrap/>
        <w:overflowPunct/>
        <w:topLinePunct w:val="0"/>
        <w:autoSpaceDE/>
        <w:autoSpaceDN/>
        <w:bidi w:val="0"/>
        <w:adjustRightInd/>
        <w:snapToGrid/>
        <w:spacing w:line="640" w:lineRule="exact"/>
        <w:ind w:firstLine="64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1、要进一步完善年初预算编制，要根据单位的实际工作情况，更加全面、准确地编制年初预算。</w:t>
      </w:r>
    </w:p>
    <w:p>
      <w:pPr>
        <w:keepNext w:val="0"/>
        <w:keepLines w:val="0"/>
        <w:pageBreakBefore w:val="0"/>
        <w:widowControl/>
        <w:numPr>
          <w:ilvl w:val="0"/>
          <w:numId w:val="0"/>
        </w:numPr>
        <w:kinsoku/>
        <w:wordWrap/>
        <w:overflowPunct/>
        <w:topLinePunct w:val="0"/>
        <w:autoSpaceDE/>
        <w:autoSpaceDN/>
        <w:bidi w:val="0"/>
        <w:adjustRightInd/>
        <w:snapToGrid/>
        <w:spacing w:line="640" w:lineRule="exact"/>
        <w:ind w:firstLine="64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2、干部职工对绩效评价工作重要性认识不够。</w:t>
      </w:r>
    </w:p>
    <w:p>
      <w:pPr>
        <w:keepNext w:val="0"/>
        <w:keepLines w:val="0"/>
        <w:pageBreakBefore w:val="0"/>
        <w:widowControl/>
        <w:numPr>
          <w:ilvl w:val="0"/>
          <w:numId w:val="0"/>
        </w:numPr>
        <w:kinsoku/>
        <w:wordWrap/>
        <w:overflowPunct/>
        <w:topLinePunct w:val="0"/>
        <w:autoSpaceDE/>
        <w:autoSpaceDN/>
        <w:bidi w:val="0"/>
        <w:adjustRightInd/>
        <w:snapToGrid/>
        <w:spacing w:line="640" w:lineRule="exact"/>
        <w:ind w:firstLine="640"/>
        <w:jc w:val="both"/>
        <w:textAlignment w:val="auto"/>
        <w:rPr>
          <w:rFonts w:hint="eastAsia" w:ascii="Times New Roman" w:hAnsi="Times New Roman" w:eastAsia="仿宋_GB2312" w:cs="Times New Roman"/>
          <w:color w:val="000000"/>
          <w:sz w:val="32"/>
          <w:szCs w:val="32"/>
          <w:highlight w:val="none"/>
          <w:lang w:val="en-US" w:eastAsia="zh-CN"/>
        </w:rPr>
      </w:pPr>
      <w:r>
        <w:rPr>
          <w:rFonts w:hint="eastAsia" w:ascii="Times New Roman" w:hAnsi="Times New Roman" w:eastAsia="仿宋_GB2312" w:cs="Times New Roman"/>
          <w:color w:val="000000"/>
          <w:sz w:val="32"/>
          <w:szCs w:val="32"/>
          <w:highlight w:val="none"/>
          <w:lang w:val="en-US" w:eastAsia="zh-CN"/>
        </w:rPr>
        <w:t>3、会计基础工作需进一步提高质量，项目资金使用监管力度有待加强。</w:t>
      </w:r>
    </w:p>
    <w:p>
      <w:pPr>
        <w:keepNext w:val="0"/>
        <w:keepLines w:val="0"/>
        <w:pageBreakBefore w:val="0"/>
        <w:widowControl/>
        <w:numPr>
          <w:ilvl w:val="0"/>
          <w:numId w:val="0"/>
        </w:numPr>
        <w:kinsoku/>
        <w:wordWrap/>
        <w:overflowPunct/>
        <w:topLinePunct w:val="0"/>
        <w:autoSpaceDE/>
        <w:autoSpaceDN/>
        <w:bidi w:val="0"/>
        <w:adjustRightInd/>
        <w:snapToGrid/>
        <w:spacing w:line="640" w:lineRule="exact"/>
        <w:ind w:firstLine="640"/>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七、</w:t>
      </w:r>
      <w:r>
        <w:rPr>
          <w:rFonts w:hint="default" w:ascii="Times New Roman" w:hAnsi="Times New Roman" w:eastAsia="黑体" w:cs="Times New Roman"/>
          <w:sz w:val="32"/>
          <w:szCs w:val="32"/>
          <w:highlight w:val="none"/>
        </w:rPr>
        <w:t>下一步改进措施</w:t>
      </w:r>
    </w:p>
    <w:p>
      <w:pPr>
        <w:pStyle w:val="2"/>
        <w:rPr>
          <w:rFonts w:hint="eastAsia" w:ascii="仿宋_GB2312" w:hAnsi="仿宋_GB2312" w:eastAsia="仿宋_GB2312" w:cs="Times New Roman"/>
          <w:kern w:val="0"/>
          <w:sz w:val="32"/>
          <w:szCs w:val="32"/>
          <w:lang w:val="zh-CN" w:eastAsia="zh-CN" w:bidi="zh-CN"/>
        </w:rPr>
      </w:pPr>
      <w:r>
        <w:rPr>
          <w:rFonts w:hint="eastAsia" w:ascii="Times New Roman" w:hAnsi="Times New Roman" w:eastAsia="黑体" w:cs="Times New Roman"/>
          <w:sz w:val="32"/>
          <w:szCs w:val="32"/>
          <w:highlight w:val="none"/>
          <w:lang w:eastAsia="zh-CN"/>
        </w:rPr>
        <w:t>　　</w:t>
      </w:r>
      <w:r>
        <w:rPr>
          <w:rFonts w:hint="eastAsia" w:ascii="仿宋_GB2312" w:hAnsi="仿宋_GB2312" w:eastAsia="仿宋_GB2312" w:cs="Times New Roman"/>
          <w:kern w:val="0"/>
          <w:sz w:val="32"/>
          <w:szCs w:val="32"/>
          <w:lang w:val="en-US" w:eastAsia="zh-CN" w:bidi="zh-CN"/>
        </w:rPr>
        <w:t>1、</w:t>
      </w:r>
      <w:r>
        <w:rPr>
          <w:rFonts w:hint="eastAsia" w:ascii="仿宋_GB2312" w:hAnsi="仿宋_GB2312" w:eastAsia="仿宋_GB2312" w:cs="Times New Roman"/>
          <w:kern w:val="0"/>
          <w:sz w:val="32"/>
          <w:szCs w:val="32"/>
          <w:lang w:val="zh-CN" w:eastAsia="zh-CN" w:bidi="zh-CN"/>
        </w:rPr>
        <w:t>细化预算编制工作，认真做好预算的编制。进一步加强内部机构的预算管理意识，严格按照预算编制的相关制度和要求，本着“勤俭节约、保障运转”的原则进行预算的编制；编制范围尽可能的全面、不漏项，进一步提高预算编制的科学性、合理性、严谨性和可控性。</w:t>
      </w:r>
    </w:p>
    <w:p>
      <w:pPr>
        <w:pStyle w:val="7"/>
        <w:ind w:firstLine="640"/>
        <w:rPr>
          <w:rFonts w:hint="default"/>
        </w:rPr>
      </w:pPr>
      <w:r>
        <w:rPr>
          <w:rFonts w:hint="eastAsia"/>
          <w:lang w:val="en-US" w:eastAsia="zh-CN"/>
        </w:rPr>
        <w:t>2、</w:t>
      </w:r>
      <w:r>
        <w:rPr>
          <w:rFonts w:hint="default"/>
        </w:rPr>
        <w:t>完善内部控制体系建设。针对检查和评价过程中发现的问题和相关财经法律法规的变化，对相关制度、措施和程序进行调整、改进内部控制管理办法。对相关人员加强培训，规范部门预算收支核算，切实提高部门预算收支管理水平。</w:t>
      </w:r>
    </w:p>
    <w:p>
      <w:pPr>
        <w:pStyle w:val="8"/>
        <w:rPr>
          <w:rFonts w:hint="eastAsia" w:eastAsia="仿宋_GB2312"/>
          <w:lang w:val="en-US" w:eastAsia="zh-CN"/>
        </w:rPr>
      </w:pPr>
      <w:r>
        <w:rPr>
          <w:rFonts w:hint="eastAsia"/>
          <w:lang w:val="en-US" w:eastAsia="zh-CN"/>
        </w:rPr>
        <w:t>　3、规范账务处理，提高财务信息质量 。严格按照《中华人民共和国会计法》、《行政事业单位会计制度》、《行政事业单位财务规则》等规定执行财务核算，并结合实际情况，完整、准确地披露相关信息，尽可能地做到决算与预算相衔接,完善管理制度，进一步加强资产管理 ，规化会计基础工作，制定专项资金管理办法等。</w:t>
      </w:r>
    </w:p>
    <w:p>
      <w:pPr>
        <w:keepNext w:val="0"/>
        <w:keepLines w:val="0"/>
        <w:pageBreakBefore w:val="0"/>
        <w:widowControl/>
        <w:numPr>
          <w:ilvl w:val="0"/>
          <w:numId w:val="6"/>
        </w:numPr>
        <w:kinsoku/>
        <w:wordWrap/>
        <w:overflowPunct/>
        <w:topLinePunct w:val="0"/>
        <w:autoSpaceDE/>
        <w:autoSpaceDN/>
        <w:bidi w:val="0"/>
        <w:adjustRightInd/>
        <w:snapToGrid/>
        <w:spacing w:line="640" w:lineRule="exact"/>
        <w:ind w:left="0" w:leftChars="0" w:firstLine="640" w:firstLineChars="200"/>
        <w:jc w:val="both"/>
        <w:textAlignment w:val="auto"/>
        <w:rPr>
          <w:rFonts w:hint="default" w:ascii="Times New Roman" w:hAnsi="Times New Roman" w:eastAsia="黑体" w:cs="Times New Roman"/>
          <w:sz w:val="32"/>
          <w:szCs w:val="32"/>
          <w:highlight w:val="none"/>
        </w:rPr>
      </w:pPr>
      <w:r>
        <w:rPr>
          <w:rFonts w:hint="default" w:ascii="Times New Roman" w:hAnsi="Times New Roman" w:eastAsia="黑体" w:cs="Times New Roman"/>
          <w:sz w:val="32"/>
          <w:szCs w:val="32"/>
          <w:highlight w:val="none"/>
        </w:rPr>
        <w:t>部门整体支出绩效自评结果拟应用和公开情况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right="0" w:firstLine="640" w:firstLineChars="200"/>
        <w:jc w:val="both"/>
        <w:textAlignment w:val="auto"/>
        <w:rPr>
          <w:rFonts w:hint="default" w:ascii="Times New Roman" w:hAnsi="Times New Roman" w:eastAsia="仿宋_GB2312" w:cs="Times New Roman"/>
          <w:sz w:val="32"/>
          <w:szCs w:val="32"/>
          <w:lang w:val="en-US" w:eastAsia="zh-CN"/>
        </w:rPr>
      </w:pPr>
      <w:r>
        <w:rPr>
          <w:rFonts w:hint="eastAsia" w:ascii="Times New Roman" w:hAnsi="Times New Roman" w:eastAsia="仿宋_GB2312" w:cs="Times New Roman"/>
          <w:sz w:val="32"/>
          <w:szCs w:val="32"/>
          <w:lang w:val="en-US" w:eastAsia="zh-CN"/>
        </w:rPr>
        <w:t>对照绩效自评结果，总结经验，发现问题，提出改进的方向和具体措施，促进工作的开展。逐步建立绩效评价与部门预算相结合的结果应用机制，实行绩效评价结果在部门预算编制和执行中的应用，促进财政资金的合理分配与有效使用。</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Autospacing="0" w:afterAutospacing="0" w:line="560" w:lineRule="exact"/>
        <w:ind w:left="0" w:leftChars="0" w:right="0" w:firstLine="640" w:firstLineChars="200"/>
        <w:jc w:val="both"/>
        <w:textAlignment w:val="auto"/>
        <w:rPr>
          <w:rFonts w:hint="default"/>
        </w:rPr>
      </w:pPr>
      <w:r>
        <w:rPr>
          <w:rFonts w:hint="eastAsia" w:ascii="Times New Roman" w:hAnsi="Times New Roman" w:eastAsia="仿宋_GB2312" w:cs="Times New Roman"/>
          <w:sz w:val="32"/>
          <w:szCs w:val="32"/>
          <w:lang w:val="en-US" w:eastAsia="zh-CN"/>
        </w:rPr>
        <w:t>对部门整体支出绩效自评在规定时间内公开至本单位门户网站，确保公开数据真实、完整、准确。</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黑体" w:cs="Times New Roman"/>
          <w:sz w:val="32"/>
          <w:szCs w:val="32"/>
          <w:highlight w:val="none"/>
        </w:rPr>
      </w:pPr>
      <w:r>
        <w:rPr>
          <w:rFonts w:hint="eastAsia" w:ascii="Times New Roman" w:hAnsi="Times New Roman" w:eastAsia="黑体" w:cs="Times New Roman"/>
          <w:sz w:val="32"/>
          <w:szCs w:val="32"/>
          <w:highlight w:val="none"/>
          <w:lang w:eastAsia="zh-CN"/>
        </w:rPr>
        <w:t>十、</w:t>
      </w:r>
      <w:r>
        <w:rPr>
          <w:rFonts w:hint="default" w:ascii="Times New Roman" w:hAnsi="Times New Roman" w:eastAsia="黑体" w:cs="Times New Roman"/>
          <w:sz w:val="32"/>
          <w:szCs w:val="32"/>
          <w:highlight w:val="none"/>
        </w:rPr>
        <w:t>其他需要说明的情况</w:t>
      </w:r>
    </w:p>
    <w:p>
      <w:pPr>
        <w:keepNext w:val="0"/>
        <w:keepLines w:val="0"/>
        <w:pageBreakBefore w:val="0"/>
        <w:widowControl/>
        <w:kinsoku/>
        <w:wordWrap/>
        <w:overflowPunct/>
        <w:topLinePunct w:val="0"/>
        <w:autoSpaceDE/>
        <w:autoSpaceDN/>
        <w:bidi w:val="0"/>
        <w:adjustRightInd/>
        <w:snapToGrid/>
        <w:spacing w:line="640" w:lineRule="exact"/>
        <w:ind w:firstLine="640" w:firstLineChars="200"/>
        <w:jc w:val="both"/>
        <w:textAlignment w:val="auto"/>
        <w:rPr>
          <w:rFonts w:hint="default" w:ascii="Times New Roman" w:hAnsi="Times New Roman" w:eastAsia="仿宋_GB2312" w:cs="Times New Roman"/>
          <w:sz w:val="32"/>
          <w:szCs w:val="32"/>
          <w:highlight w:val="none"/>
        </w:rPr>
      </w:pPr>
      <w:r>
        <w:rPr>
          <w:rFonts w:hint="eastAsia" w:ascii="Times New Roman" w:hAnsi="Times New Roman" w:eastAsia="仿宋_GB2312" w:cs="Times New Roman"/>
          <w:kern w:val="0"/>
          <w:sz w:val="32"/>
          <w:szCs w:val="32"/>
          <w:lang w:val="en-US" w:eastAsia="zh-CN" w:bidi="ar-SA"/>
        </w:rPr>
        <w:t>无。</w:t>
      </w:r>
      <w:r>
        <w:rPr>
          <w:rFonts w:hint="eastAsia" w:ascii="Times New Roman" w:hAnsi="Times New Roman" w:eastAsia="仿宋_GB2312" w:cs="Times New Roman"/>
          <w:kern w:val="0"/>
          <w:sz w:val="32"/>
          <w:szCs w:val="32"/>
          <w:lang w:val="en-US" w:eastAsia="zh-CN" w:bidi="ar-SA"/>
        </w:rPr>
        <w:br w:type="page"/>
      </w:r>
    </w:p>
    <w:p>
      <w:pPr>
        <w:spacing w:after="120" w:afterLines="50" w:line="600" w:lineRule="exact"/>
        <w:jc w:val="both"/>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eastAsia="zh-CN"/>
        </w:rPr>
        <w:t>附件</w:t>
      </w:r>
      <w:r>
        <w:rPr>
          <w:rFonts w:hint="eastAsia" w:ascii="黑体" w:hAnsi="黑体" w:eastAsia="黑体" w:cs="黑体"/>
          <w:sz w:val="32"/>
          <w:szCs w:val="32"/>
          <w:highlight w:val="none"/>
          <w:lang w:val="en-US" w:eastAsia="zh-CN"/>
        </w:rPr>
        <w:t>1</w:t>
      </w:r>
    </w:p>
    <w:p>
      <w:pPr>
        <w:spacing w:after="120" w:afterLines="50" w:line="600" w:lineRule="exact"/>
        <w:jc w:val="center"/>
        <w:rPr>
          <w:rFonts w:hint="eastAsia" w:ascii="方正小标宋简体" w:hAnsi="方正小标宋简体" w:eastAsia="方正小标宋简体" w:cs="方正小标宋简体"/>
          <w:sz w:val="24"/>
          <w:highlight w:val="none"/>
        </w:rPr>
      </w:pPr>
      <w:r>
        <w:rPr>
          <w:rFonts w:hint="eastAsia" w:ascii="方正小标宋简体" w:hAnsi="方正小标宋简体" w:eastAsia="方正小标宋简体" w:cs="方正小标宋简体"/>
          <w:sz w:val="36"/>
          <w:szCs w:val="36"/>
          <w:highlight w:val="none"/>
        </w:rPr>
        <w:t>202</w:t>
      </w:r>
      <w:r>
        <w:rPr>
          <w:rFonts w:hint="eastAsia" w:ascii="方正小标宋简体" w:hAnsi="方正小标宋简体" w:eastAsia="方正小标宋简体" w:cs="方正小标宋简体"/>
          <w:sz w:val="36"/>
          <w:szCs w:val="36"/>
          <w:highlight w:val="none"/>
          <w:lang w:val="en-US" w:eastAsia="zh-CN"/>
        </w:rPr>
        <w:t>3</w:t>
      </w:r>
      <w:r>
        <w:rPr>
          <w:rFonts w:hint="eastAsia" w:ascii="方正小标宋简体" w:hAnsi="方正小标宋简体" w:eastAsia="方正小标宋简体" w:cs="方正小标宋简体"/>
          <w:sz w:val="36"/>
          <w:szCs w:val="36"/>
          <w:highlight w:val="none"/>
        </w:rPr>
        <w:t>年度部门整体支出绩效评价基础数据表</w:t>
      </w:r>
    </w:p>
    <w:tbl>
      <w:tblPr>
        <w:tblStyle w:val="5"/>
        <w:tblW w:w="9673" w:type="dxa"/>
        <w:jc w:val="center"/>
        <w:tblLayout w:type="fixed"/>
        <w:tblCellMar>
          <w:top w:w="0" w:type="dxa"/>
          <w:left w:w="108" w:type="dxa"/>
          <w:bottom w:w="0" w:type="dxa"/>
          <w:right w:w="108" w:type="dxa"/>
        </w:tblCellMar>
      </w:tblPr>
      <w:tblGrid>
        <w:gridCol w:w="3354"/>
        <w:gridCol w:w="1189"/>
        <w:gridCol w:w="849"/>
        <w:gridCol w:w="1129"/>
        <w:gridCol w:w="1111"/>
        <w:gridCol w:w="1081"/>
        <w:gridCol w:w="960"/>
      </w:tblGrid>
      <w:tr>
        <w:trPr>
          <w:trHeight w:val="0" w:hRule="atLeast"/>
          <w:jc w:val="center"/>
        </w:trPr>
        <w:tc>
          <w:tcPr>
            <w:tcW w:w="3354"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财政供养人员情况（人）</w:t>
            </w:r>
          </w:p>
        </w:tc>
        <w:tc>
          <w:tcPr>
            <w:tcW w:w="2038"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编制数</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年实际在职人数</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控制率</w:t>
            </w:r>
          </w:p>
        </w:tc>
      </w:tr>
      <w:tr>
        <w:tblPrEx>
          <w:tblCellMar>
            <w:top w:w="0" w:type="dxa"/>
            <w:left w:w="108" w:type="dxa"/>
            <w:bottom w:w="0" w:type="dxa"/>
            <w:right w:w="108" w:type="dxa"/>
          </w:tblCellMar>
        </w:tblPrEx>
        <w:trPr>
          <w:trHeight w:val="0" w:hRule="atLeast"/>
          <w:jc w:val="center"/>
        </w:trPr>
        <w:tc>
          <w:tcPr>
            <w:tcW w:w="335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p>
        </w:tc>
        <w:tc>
          <w:tcPr>
            <w:tcW w:w="2038"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8</w:t>
            </w:r>
          </w:p>
        </w:tc>
        <w:tc>
          <w:tcPr>
            <w:tcW w:w="2240"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8</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100%</w:t>
            </w:r>
          </w:p>
        </w:tc>
      </w:tr>
      <w:tr>
        <w:tblPrEx>
          <w:tblCellMar>
            <w:top w:w="0" w:type="dxa"/>
            <w:left w:w="108" w:type="dxa"/>
            <w:bottom w:w="0" w:type="dxa"/>
            <w:right w:w="108" w:type="dxa"/>
          </w:tblCellMar>
        </w:tblPrEx>
        <w:trPr>
          <w:trHeight w:val="405"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经费控制情况（万元）</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2</w:t>
            </w:r>
            <w:r>
              <w:rPr>
                <w:rFonts w:hint="eastAsia" w:ascii="仿宋_GB2312" w:hAnsi="仿宋_GB2312" w:eastAsia="仿宋_GB2312" w:cs="仿宋_GB2312"/>
                <w:b/>
                <w:bCs/>
                <w:sz w:val="20"/>
                <w:szCs w:val="20"/>
                <w:highlight w:val="none"/>
              </w:rPr>
              <w:t>年决算数</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年预算数</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b/>
                <w:bCs/>
                <w:sz w:val="20"/>
                <w:szCs w:val="20"/>
                <w:highlight w:val="none"/>
              </w:rPr>
            </w:pPr>
            <w:r>
              <w:rPr>
                <w:rFonts w:hint="eastAsia" w:ascii="仿宋_GB2312" w:hAnsi="仿宋_GB2312" w:eastAsia="仿宋_GB2312" w:cs="仿宋_GB2312"/>
                <w:b/>
                <w:bCs/>
                <w:sz w:val="20"/>
                <w:szCs w:val="20"/>
                <w:highlight w:val="none"/>
              </w:rPr>
              <w:t>202</w:t>
            </w:r>
            <w:r>
              <w:rPr>
                <w:rFonts w:hint="eastAsia" w:ascii="仿宋_GB2312" w:hAnsi="仿宋_GB2312" w:eastAsia="仿宋_GB2312" w:cs="仿宋_GB2312"/>
                <w:b/>
                <w:bCs/>
                <w:sz w:val="20"/>
                <w:szCs w:val="20"/>
                <w:highlight w:val="none"/>
                <w:lang w:val="en-US" w:eastAsia="zh-CN"/>
              </w:rPr>
              <w:t>3</w:t>
            </w:r>
            <w:r>
              <w:rPr>
                <w:rFonts w:hint="eastAsia" w:ascii="仿宋_GB2312" w:hAnsi="仿宋_GB2312" w:eastAsia="仿宋_GB2312" w:cs="仿宋_GB2312"/>
                <w:b/>
                <w:bCs/>
                <w:sz w:val="20"/>
                <w:szCs w:val="20"/>
                <w:highlight w:val="none"/>
              </w:rPr>
              <w:t>年决算数</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三公经费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3.33</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2.07</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2.07</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1、公务用车购置和维护经费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0</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其中：公车购置</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公车运行维护</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2、出国经费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0</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3、公务接待</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3.33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2.07</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2.07</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项目支出：</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val="en-US" w:eastAsia="zh-CN"/>
              </w:rPr>
              <w:t>2291.2</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lang w:eastAsia="zh-CN"/>
              </w:rPr>
              <w:t>1907</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lang w:eastAsia="zh-CN"/>
              </w:rPr>
              <w:t>54</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1907</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lang w:eastAsia="zh-CN"/>
              </w:rPr>
              <w:t>54</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1、业务工作经费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2、运行维护经费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3、</w:t>
            </w:r>
            <w:r>
              <w:rPr>
                <w:rFonts w:hint="eastAsia" w:ascii="仿宋_GB2312" w:hAnsi="仿宋_GB2312" w:eastAsia="仿宋_GB2312" w:cs="仿宋_GB2312"/>
                <w:sz w:val="20"/>
                <w:szCs w:val="20"/>
                <w:highlight w:val="none"/>
                <w:lang w:eastAsia="zh-CN"/>
              </w:rPr>
              <w:t>市级</w:t>
            </w:r>
            <w:r>
              <w:rPr>
                <w:rFonts w:hint="eastAsia" w:ascii="仿宋_GB2312" w:hAnsi="仿宋_GB2312" w:eastAsia="仿宋_GB2312" w:cs="仿宋_GB2312"/>
                <w:sz w:val="20"/>
                <w:szCs w:val="20"/>
                <w:highlight w:val="none"/>
              </w:rPr>
              <w:t>专项资金（一个专项一行）</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公用经费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86.44</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164</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rPr>
              <w:t>8</w:t>
            </w:r>
            <w:r>
              <w:rPr>
                <w:rFonts w:hint="eastAsia" w:ascii="仿宋_GB2312" w:hAnsi="仿宋_GB2312" w:eastAsia="仿宋_GB2312" w:cs="仿宋_GB2312"/>
                <w:sz w:val="20"/>
                <w:szCs w:val="20"/>
                <w:highlight w:val="none"/>
                <w:lang w:val="en-US" w:eastAsia="zh-CN"/>
              </w:rPr>
              <w:t>1</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164</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rPr>
              <w:t>8</w:t>
            </w:r>
            <w:r>
              <w:rPr>
                <w:rFonts w:hint="eastAsia" w:ascii="仿宋_GB2312" w:hAnsi="仿宋_GB2312" w:eastAsia="仿宋_GB2312" w:cs="仿宋_GB2312"/>
                <w:sz w:val="20"/>
                <w:szCs w:val="20"/>
                <w:highlight w:val="none"/>
                <w:lang w:val="en-US" w:eastAsia="zh-CN"/>
              </w:rPr>
              <w:t>1</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其中：办公经费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22.37</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kern w:val="0"/>
                <w:sz w:val="20"/>
                <w:szCs w:val="20"/>
                <w:highlight w:val="none"/>
                <w:lang w:val="en-US" w:eastAsia="zh-CN" w:bidi="ar-SA"/>
              </w:rPr>
            </w:pPr>
            <w:r>
              <w:rPr>
                <w:rFonts w:hint="eastAsia" w:ascii="仿宋_GB2312" w:hAnsi="仿宋_GB2312" w:eastAsia="仿宋_GB2312" w:cs="仿宋_GB2312"/>
                <w:kern w:val="0"/>
                <w:sz w:val="20"/>
                <w:szCs w:val="20"/>
                <w:highlight w:val="none"/>
                <w:lang w:val="en-US" w:eastAsia="zh-CN" w:bidi="ar-SA"/>
              </w:rPr>
              <w:t>40.37</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kern w:val="0"/>
                <w:sz w:val="20"/>
                <w:szCs w:val="20"/>
                <w:highlight w:val="none"/>
                <w:lang w:val="en-US" w:eastAsia="zh-CN" w:bidi="ar-SA"/>
              </w:rPr>
            </w:pPr>
            <w:r>
              <w:rPr>
                <w:rFonts w:hint="eastAsia" w:ascii="仿宋_GB2312" w:hAnsi="仿宋_GB2312" w:eastAsia="仿宋_GB2312" w:cs="仿宋_GB2312"/>
                <w:kern w:val="0"/>
                <w:sz w:val="20"/>
                <w:szCs w:val="20"/>
                <w:highlight w:val="none"/>
                <w:lang w:val="en-US" w:eastAsia="zh-CN" w:bidi="ar-SA"/>
              </w:rPr>
              <w:t>40.37</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水费、电费、差旅费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2.02</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kern w:val="0"/>
                <w:sz w:val="20"/>
                <w:szCs w:val="20"/>
                <w:highlight w:val="none"/>
                <w:lang w:val="en-US" w:eastAsia="zh-CN" w:bidi="ar-SA"/>
              </w:rPr>
            </w:pPr>
            <w:r>
              <w:rPr>
                <w:rFonts w:hint="eastAsia" w:ascii="仿宋_GB2312" w:hAnsi="仿宋_GB2312" w:eastAsia="仿宋_GB2312" w:cs="仿宋_GB2312"/>
                <w:kern w:val="0"/>
                <w:sz w:val="20"/>
                <w:szCs w:val="20"/>
                <w:highlight w:val="none"/>
                <w:lang w:val="en-US" w:eastAsia="zh-CN" w:bidi="ar-SA"/>
              </w:rPr>
              <w:t>4.91</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kern w:val="0"/>
                <w:sz w:val="20"/>
                <w:szCs w:val="20"/>
                <w:highlight w:val="none"/>
                <w:lang w:val="en-US" w:eastAsia="zh-CN" w:bidi="ar-SA"/>
              </w:rPr>
            </w:pPr>
            <w:r>
              <w:rPr>
                <w:rFonts w:hint="eastAsia" w:ascii="仿宋_GB2312" w:hAnsi="仿宋_GB2312" w:eastAsia="仿宋_GB2312" w:cs="仿宋_GB2312"/>
                <w:kern w:val="0"/>
                <w:sz w:val="20"/>
                <w:szCs w:val="20"/>
                <w:highlight w:val="none"/>
                <w:lang w:val="en-US" w:eastAsia="zh-CN" w:bidi="ar-SA"/>
              </w:rPr>
              <w:t>4.91</w:t>
            </w:r>
          </w:p>
        </w:tc>
      </w:tr>
      <w:tr>
        <w:tblPrEx>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          会议费、培训费</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color w:val="FF0000"/>
                <w:sz w:val="20"/>
                <w:szCs w:val="20"/>
                <w:highlight w:val="none"/>
                <w:lang w:val="en-US" w:eastAsia="zh-CN"/>
              </w:rPr>
            </w:pPr>
            <w:r>
              <w:rPr>
                <w:rFonts w:hint="default" w:ascii="仿宋_GB2312" w:hAnsi="仿宋_GB2312" w:eastAsia="仿宋_GB2312" w:cs="仿宋_GB2312"/>
                <w:sz w:val="20"/>
                <w:szCs w:val="20"/>
                <w:highlight w:val="none"/>
                <w:lang w:val="en-US" w:eastAsia="zh-CN"/>
              </w:rPr>
              <w:t>2</w:t>
            </w:r>
            <w:r>
              <w:rPr>
                <w:rFonts w:hint="eastAsia" w:ascii="仿宋_GB2312" w:hAnsi="仿宋_GB2312" w:eastAsia="仿宋_GB2312" w:cs="仿宋_GB2312"/>
                <w:sz w:val="20"/>
                <w:szCs w:val="20"/>
                <w:highlight w:val="none"/>
                <w:lang w:val="en-US" w:eastAsia="zh-CN"/>
              </w:rPr>
              <w:t>.0</w:t>
            </w:r>
            <w:r>
              <w:rPr>
                <w:rFonts w:hint="default" w:ascii="仿宋_GB2312" w:hAnsi="仿宋_GB2312" w:eastAsia="仿宋_GB2312" w:cs="仿宋_GB2312"/>
                <w:sz w:val="20"/>
                <w:szCs w:val="20"/>
                <w:highlight w:val="none"/>
                <w:lang w:val="en-US" w:eastAsia="zh-CN"/>
              </w:rPr>
              <w:t>1</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default" w:ascii="仿宋_GB2312" w:hAnsi="仿宋_GB2312" w:eastAsia="仿宋_GB2312" w:cs="仿宋_GB2312"/>
                <w:kern w:val="0"/>
                <w:sz w:val="20"/>
                <w:szCs w:val="20"/>
                <w:highlight w:val="none"/>
                <w:lang w:val="en-US" w:eastAsia="zh-CN" w:bidi="ar-SA"/>
              </w:rPr>
            </w:pPr>
            <w:r>
              <w:rPr>
                <w:rFonts w:hint="eastAsia" w:ascii="仿宋_GB2312" w:hAnsi="仿宋_GB2312" w:eastAsia="仿宋_GB2312" w:cs="仿宋_GB2312"/>
                <w:kern w:val="0"/>
                <w:sz w:val="20"/>
                <w:szCs w:val="20"/>
                <w:highlight w:val="none"/>
                <w:lang w:val="en-US" w:eastAsia="zh-CN" w:bidi="ar-SA"/>
              </w:rPr>
              <w:t>2.14</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kern w:val="0"/>
                <w:sz w:val="20"/>
                <w:szCs w:val="20"/>
                <w:highlight w:val="none"/>
                <w:lang w:val="en-US" w:eastAsia="zh-CN" w:bidi="ar-SA"/>
              </w:rPr>
            </w:pPr>
            <w:r>
              <w:rPr>
                <w:rFonts w:hint="eastAsia" w:ascii="仿宋_GB2312" w:hAnsi="仿宋_GB2312" w:eastAsia="仿宋_GB2312" w:cs="仿宋_GB2312"/>
                <w:kern w:val="0"/>
                <w:sz w:val="20"/>
                <w:szCs w:val="20"/>
                <w:highlight w:val="none"/>
                <w:lang w:val="en-US" w:eastAsia="zh-CN" w:bidi="ar-SA"/>
              </w:rPr>
              <w:t>2.14</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政府采购金额</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kern w:val="0"/>
                <w:sz w:val="20"/>
                <w:szCs w:val="20"/>
                <w:highlight w:val="none"/>
                <w:lang w:val="en-US" w:eastAsia="zh-CN" w:bidi="ar-SA"/>
              </w:rPr>
            </w:pPr>
            <w:r>
              <w:rPr>
                <w:rFonts w:hint="eastAsia" w:ascii="仿宋_GB2312" w:hAnsi="仿宋_GB2312" w:eastAsia="仿宋_GB2312" w:cs="仿宋_GB2312"/>
                <w:kern w:val="0"/>
                <w:sz w:val="20"/>
                <w:szCs w:val="20"/>
                <w:highlight w:val="none"/>
                <w:lang w:val="en-US" w:eastAsia="zh-CN" w:bidi="ar-SA"/>
              </w:rPr>
              <w:t>119.14</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kern w:val="0"/>
                <w:sz w:val="20"/>
                <w:szCs w:val="20"/>
                <w:highlight w:val="none"/>
                <w:lang w:val="en-US" w:eastAsia="zh-CN" w:bidi="ar-SA"/>
              </w:rPr>
              <w:t>119.14</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9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xml:space="preserve">部门基本支出预算调整 </w:t>
            </w:r>
          </w:p>
        </w:tc>
        <w:tc>
          <w:tcPr>
            <w:tcW w:w="2038"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w:t>
            </w:r>
          </w:p>
        </w:tc>
        <w:tc>
          <w:tcPr>
            <w:tcW w:w="2240"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rPr>
              <w:t>370</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rPr>
              <w:t>7</w:t>
            </w:r>
            <w:r>
              <w:rPr>
                <w:rFonts w:hint="eastAsia" w:ascii="仿宋_GB2312" w:hAnsi="仿宋_GB2312" w:eastAsia="仿宋_GB2312" w:cs="仿宋_GB2312"/>
                <w:sz w:val="20"/>
                <w:szCs w:val="20"/>
                <w:highlight w:val="none"/>
                <w:lang w:val="en-US" w:eastAsia="zh-CN"/>
              </w:rPr>
              <w:t>2</w:t>
            </w:r>
          </w:p>
        </w:tc>
        <w:tc>
          <w:tcPr>
            <w:tcW w:w="2041" w:type="dxa"/>
            <w:gridSpan w:val="2"/>
            <w:tcBorders>
              <w:top w:val="single" w:color="auto" w:sz="4" w:space="0"/>
              <w:left w:val="nil"/>
              <w:bottom w:val="single" w:color="auto" w:sz="4" w:space="0"/>
              <w:right w:val="single" w:color="000000"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370</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rPr>
              <w:t>7</w:t>
            </w:r>
            <w:r>
              <w:rPr>
                <w:rFonts w:hint="eastAsia" w:ascii="仿宋_GB2312" w:hAnsi="仿宋_GB2312" w:eastAsia="仿宋_GB2312" w:cs="仿宋_GB2312"/>
                <w:sz w:val="20"/>
                <w:szCs w:val="20"/>
                <w:highlight w:val="none"/>
                <w:lang w:val="en-US" w:eastAsia="zh-CN"/>
              </w:rPr>
              <w:t>2</w:t>
            </w: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vMerge w:val="restart"/>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楼堂馆所控制情况</w:t>
            </w:r>
            <w:r>
              <w:rPr>
                <w:rFonts w:hint="eastAsia" w:ascii="仿宋_GB2312" w:hAnsi="仿宋_GB2312" w:eastAsia="仿宋_GB2312" w:cs="仿宋_GB2312"/>
                <w:sz w:val="20"/>
                <w:szCs w:val="20"/>
                <w:highlight w:val="none"/>
              </w:rPr>
              <w:br w:type="textWrapping"/>
            </w:r>
            <w:r>
              <w:rPr>
                <w:rFonts w:hint="eastAsia" w:ascii="仿宋_GB2312" w:hAnsi="仿宋_GB2312" w:eastAsia="仿宋_GB2312" w:cs="仿宋_GB2312"/>
                <w:sz w:val="20"/>
                <w:szCs w:val="20"/>
                <w:highlight w:val="none"/>
              </w:rPr>
              <w:t>（202</w:t>
            </w:r>
            <w:r>
              <w:rPr>
                <w:rFonts w:hint="eastAsia" w:ascii="仿宋_GB2312" w:hAnsi="仿宋_GB2312" w:eastAsia="仿宋_GB2312" w:cs="仿宋_GB2312"/>
                <w:sz w:val="20"/>
                <w:szCs w:val="20"/>
                <w:highlight w:val="none"/>
                <w:lang w:val="en-US" w:eastAsia="zh-CN"/>
              </w:rPr>
              <w:t>3</w:t>
            </w:r>
            <w:r>
              <w:rPr>
                <w:rFonts w:hint="eastAsia" w:ascii="仿宋_GB2312" w:hAnsi="仿宋_GB2312" w:eastAsia="仿宋_GB2312" w:cs="仿宋_GB2312"/>
                <w:sz w:val="20"/>
                <w:szCs w:val="20"/>
                <w:highlight w:val="none"/>
              </w:rPr>
              <w:t>年完工项目）</w:t>
            </w:r>
          </w:p>
        </w:tc>
        <w:tc>
          <w:tcPr>
            <w:tcW w:w="118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批复规模</w:t>
            </w:r>
            <w:r>
              <w:rPr>
                <w:rFonts w:hint="eastAsia" w:ascii="仿宋_GB2312" w:hAnsi="仿宋_GB2312" w:eastAsia="仿宋_GB2312" w:cs="仿宋_GB2312"/>
                <w:bCs/>
                <w:sz w:val="20"/>
                <w:szCs w:val="20"/>
                <w:highlight w:val="none"/>
              </w:rPr>
              <w:br w:type="textWrapping"/>
            </w:r>
            <w:r>
              <w:rPr>
                <w:rFonts w:hint="eastAsia" w:ascii="仿宋_GB2312" w:hAnsi="仿宋_GB2312" w:eastAsia="仿宋_GB2312" w:cs="仿宋_GB2312"/>
                <w:bCs/>
                <w:sz w:val="20"/>
                <w:szCs w:val="20"/>
                <w:highlight w:val="none"/>
              </w:rPr>
              <w:t>（㎡）</w:t>
            </w:r>
          </w:p>
        </w:tc>
        <w:tc>
          <w:tcPr>
            <w:tcW w:w="84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实际规模（㎡）</w:t>
            </w:r>
          </w:p>
        </w:tc>
        <w:tc>
          <w:tcPr>
            <w:tcW w:w="112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规模控制率</w:t>
            </w:r>
          </w:p>
        </w:tc>
        <w:tc>
          <w:tcPr>
            <w:tcW w:w="111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预算投资（万元）</w:t>
            </w:r>
          </w:p>
        </w:tc>
        <w:tc>
          <w:tcPr>
            <w:tcW w:w="1081"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实际投资（万元）</w:t>
            </w:r>
          </w:p>
        </w:tc>
        <w:tc>
          <w:tcPr>
            <w:tcW w:w="960"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bCs/>
                <w:sz w:val="20"/>
                <w:szCs w:val="20"/>
                <w:highlight w:val="none"/>
              </w:rPr>
            </w:pPr>
            <w:r>
              <w:rPr>
                <w:rFonts w:hint="eastAsia" w:ascii="仿宋_GB2312" w:hAnsi="仿宋_GB2312" w:eastAsia="仿宋_GB2312" w:cs="仿宋_GB2312"/>
                <w:bCs/>
                <w:sz w:val="20"/>
                <w:szCs w:val="20"/>
                <w:highlight w:val="none"/>
              </w:rPr>
              <w:t>投资概算控制率</w:t>
            </w:r>
          </w:p>
        </w:tc>
      </w:tr>
      <w:tr>
        <w:tblPrEx>
          <w:tblCellMar>
            <w:top w:w="0" w:type="dxa"/>
            <w:left w:w="108" w:type="dxa"/>
            <w:bottom w:w="0" w:type="dxa"/>
            <w:right w:w="108" w:type="dxa"/>
          </w:tblCellMar>
        </w:tblPrEx>
        <w:trPr>
          <w:trHeight w:val="0" w:hRule="atLeast"/>
          <w:jc w:val="center"/>
        </w:trPr>
        <w:tc>
          <w:tcPr>
            <w:tcW w:w="3354" w:type="dxa"/>
            <w:vMerge w:val="continue"/>
            <w:tcBorders>
              <w:top w:val="nil"/>
              <w:left w:val="single" w:color="auto" w:sz="4" w:space="0"/>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p>
        </w:tc>
        <w:tc>
          <w:tcPr>
            <w:tcW w:w="1189" w:type="dxa"/>
            <w:tcBorders>
              <w:top w:val="nil"/>
              <w:left w:val="nil"/>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849"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129"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11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1081"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c>
          <w:tcPr>
            <w:tcW w:w="960" w:type="dxa"/>
            <w:tcBorders>
              <w:top w:val="nil"/>
              <w:left w:val="nil"/>
              <w:bottom w:val="single" w:color="auto" w:sz="4" w:space="0"/>
              <w:right w:val="single" w:color="auto"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　</w:t>
            </w:r>
          </w:p>
        </w:tc>
      </w:tr>
      <w:tr>
        <w:tblPrEx>
          <w:tblCellMar>
            <w:top w:w="0" w:type="dxa"/>
            <w:left w:w="108" w:type="dxa"/>
            <w:bottom w:w="0" w:type="dxa"/>
            <w:right w:w="108" w:type="dxa"/>
          </w:tblCellMar>
        </w:tblPrEx>
        <w:trPr>
          <w:trHeight w:val="0" w:hRule="atLeast"/>
          <w:jc w:val="center"/>
        </w:trPr>
        <w:tc>
          <w:tcPr>
            <w:tcW w:w="3354" w:type="dxa"/>
            <w:tcBorders>
              <w:top w:val="nil"/>
              <w:left w:val="single" w:color="auto" w:sz="4" w:space="0"/>
              <w:bottom w:val="single" w:color="auto" w:sz="4" w:space="0"/>
              <w:right w:val="single" w:color="auto" w:sz="4" w:space="0"/>
            </w:tcBorders>
            <w:noWrap w:val="0"/>
            <w:vAlign w:val="center"/>
          </w:tcPr>
          <w:p>
            <w:pPr>
              <w:widowControl/>
              <w:spacing w:line="36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厉行节约保障措施</w:t>
            </w:r>
          </w:p>
        </w:tc>
        <w:tc>
          <w:tcPr>
            <w:tcW w:w="6319" w:type="dxa"/>
            <w:gridSpan w:val="6"/>
            <w:tcBorders>
              <w:top w:val="single" w:color="auto" w:sz="4" w:space="0"/>
              <w:left w:val="nil"/>
              <w:bottom w:val="single" w:color="auto" w:sz="4" w:space="0"/>
              <w:right w:val="single" w:color="000000" w:sz="4" w:space="0"/>
            </w:tcBorders>
            <w:noWrap w:val="0"/>
            <w:vAlign w:val="center"/>
          </w:tcPr>
          <w:p>
            <w:pPr>
              <w:widowControl/>
              <w:spacing w:line="360" w:lineRule="exact"/>
              <w:jc w:val="left"/>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lang w:val="en-US" w:eastAsia="zh-CN"/>
              </w:rPr>
              <w:t>深入贯彻落实中央八项规定及其实施细则特神，严格控制“三公”经费开支，严禁超范围、超标准开支，践行精细化管理理念，加强绩效化管理，推进绩效评价结果与预算挂钩，严防资金低效使用，确保财力有效转化为保障力。</w:t>
            </w:r>
            <w:r>
              <w:rPr>
                <w:rFonts w:hint="eastAsia" w:ascii="仿宋_GB2312" w:hAnsi="仿宋_GB2312" w:eastAsia="仿宋_GB2312" w:cs="仿宋_GB2312"/>
                <w:sz w:val="20"/>
                <w:szCs w:val="20"/>
                <w:highlight w:val="none"/>
              </w:rPr>
              <w:t>　　</w:t>
            </w:r>
          </w:p>
        </w:tc>
      </w:tr>
    </w:tbl>
    <w:p>
      <w:pPr>
        <w:widowControl/>
        <w:spacing w:afterLines="0" w:line="400" w:lineRule="exact"/>
        <w:jc w:val="left"/>
        <w:rPr>
          <w:rFonts w:hint="default" w:ascii="Times New Roman" w:hAnsi="Times New Roman" w:eastAsia="仿宋_GB2312" w:cs="Times New Roman"/>
          <w:sz w:val="22"/>
          <w:highlight w:val="none"/>
        </w:rPr>
      </w:pPr>
      <w:r>
        <w:rPr>
          <w:rFonts w:hint="default" w:ascii="Times New Roman" w:hAnsi="Times New Roman" w:eastAsia="仿宋_GB2312" w:cs="Times New Roman"/>
          <w:sz w:val="22"/>
          <w:highlight w:val="none"/>
        </w:rPr>
        <w:t>说明：“项目支出”需要填报基本支出以外的所有项目支出情况，“公用经费”填报基本支出中的一般商品和服务支出。</w:t>
      </w:r>
    </w:p>
    <w:p>
      <w:pPr>
        <w:widowControl/>
        <w:spacing w:afterLines="0" w:line="400" w:lineRule="exact"/>
        <w:jc w:val="left"/>
        <w:rPr>
          <w:rFonts w:hint="default" w:ascii="Times New Roman" w:hAnsi="Times New Roman" w:eastAsia="仿宋_GB2312" w:cs="Times New Roman"/>
          <w:sz w:val="22"/>
          <w:highlight w:val="none"/>
        </w:rPr>
      </w:pPr>
    </w:p>
    <w:p>
      <w:pPr>
        <w:widowControl/>
        <w:spacing w:after="0" w:afterLines="0" w:line="400" w:lineRule="exact"/>
        <w:jc w:val="left"/>
        <w:rPr>
          <w:rFonts w:hint="eastAsia" w:ascii="黑体" w:hAnsi="黑体" w:eastAsia="黑体" w:cs="黑体"/>
          <w:sz w:val="32"/>
          <w:szCs w:val="32"/>
          <w:highlight w:val="none"/>
          <w:lang w:eastAsia="zh-CN"/>
        </w:rPr>
      </w:pPr>
      <w:r>
        <w:rPr>
          <w:rFonts w:hint="default" w:ascii="Times New Roman" w:hAnsi="Times New Roman" w:eastAsia="仿宋_GB2312" w:cs="Times New Roman"/>
          <w:sz w:val="22"/>
          <w:highlight w:val="none"/>
        </w:rPr>
        <w:t>填表人：        填报日期：          联系电话：            单位负责人签字：</w:t>
      </w:r>
      <w:r>
        <w:rPr>
          <w:rFonts w:hint="default" w:ascii="Times New Roman" w:hAnsi="Times New Roman" w:eastAsia="仿宋_GB2312" w:cs="Times New Roman"/>
          <w:sz w:val="22"/>
          <w:highlight w:val="none"/>
        </w:rPr>
        <w:br w:type="page"/>
      </w: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2</w:t>
      </w:r>
    </w:p>
    <w:p>
      <w:pPr>
        <w:widowControl/>
        <w:spacing w:after="120" w:afterLines="50"/>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年度部门整体支出绩效自评表</w:t>
      </w:r>
    </w:p>
    <w:tbl>
      <w:tblPr>
        <w:tblStyle w:val="5"/>
        <w:tblW w:w="10079" w:type="dxa"/>
        <w:jc w:val="center"/>
        <w:tblLayout w:type="fixed"/>
        <w:tblCellMar>
          <w:top w:w="0" w:type="dxa"/>
          <w:left w:w="108" w:type="dxa"/>
          <w:bottom w:w="0" w:type="dxa"/>
          <w:right w:w="108" w:type="dxa"/>
        </w:tblCellMar>
      </w:tblPr>
      <w:tblGrid>
        <w:gridCol w:w="1080"/>
        <w:gridCol w:w="1080"/>
        <w:gridCol w:w="1028"/>
        <w:gridCol w:w="1500"/>
        <w:gridCol w:w="1560"/>
        <w:gridCol w:w="1440"/>
        <w:gridCol w:w="690"/>
        <w:gridCol w:w="630"/>
        <w:gridCol w:w="1071"/>
      </w:tblGrid>
      <w:tr>
        <w:tblPrEx>
          <w:tblCellMar>
            <w:top w:w="0" w:type="dxa"/>
            <w:left w:w="108" w:type="dxa"/>
            <w:bottom w:w="0" w:type="dxa"/>
            <w:right w:w="108" w:type="dxa"/>
          </w:tblCellMar>
        </w:tblPrEx>
        <w:trPr>
          <w:trHeight w:val="515"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市</w:t>
            </w:r>
            <w:r>
              <w:rPr>
                <w:rFonts w:hint="eastAsia" w:ascii="仿宋_GB2312" w:hAnsi="仿宋_GB2312" w:eastAsia="仿宋_GB2312" w:cs="仿宋_GB2312"/>
                <w:color w:val="000000"/>
                <w:sz w:val="20"/>
                <w:szCs w:val="20"/>
                <w:highlight w:val="none"/>
              </w:rPr>
              <w:t>级预算部门名称</w:t>
            </w:r>
          </w:p>
        </w:tc>
        <w:tc>
          <w:tcPr>
            <w:tcW w:w="8999" w:type="dxa"/>
            <w:gridSpan w:val="8"/>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sz w:val="20"/>
                <w:szCs w:val="20"/>
                <w:highlight w:val="none"/>
                <w:lang w:eastAsia="zh-CN"/>
              </w:rPr>
              <w:t>岳阳市君山区退役军人事务局</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年度预</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算申请</w:t>
            </w:r>
            <w:r>
              <w:rPr>
                <w:rFonts w:hint="eastAsia" w:ascii="仿宋_GB2312" w:hAnsi="仿宋_GB2312" w:eastAsia="仿宋_GB2312" w:cs="仿宋_GB2312"/>
                <w:color w:val="000000"/>
                <w:sz w:val="20"/>
                <w:szCs w:val="20"/>
                <w:highlight w:val="none"/>
              </w:rPr>
              <w:br w:type="textWrapping"/>
            </w:r>
            <w:r>
              <w:rPr>
                <w:rFonts w:hint="eastAsia" w:ascii="仿宋_GB2312" w:hAnsi="仿宋_GB2312" w:eastAsia="仿宋_GB2312" w:cs="仿宋_GB2312"/>
                <w:color w:val="000000"/>
                <w:sz w:val="20"/>
                <w:szCs w:val="20"/>
                <w:highlight w:val="none"/>
              </w:rPr>
              <w:t>（万元）</w:t>
            </w:r>
          </w:p>
        </w:tc>
        <w:tc>
          <w:tcPr>
            <w:tcW w:w="2108" w:type="dxa"/>
            <w:gridSpan w:val="2"/>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p>
        </w:tc>
        <w:tc>
          <w:tcPr>
            <w:tcW w:w="1500"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年初预算数</w:t>
            </w:r>
          </w:p>
        </w:tc>
        <w:tc>
          <w:tcPr>
            <w:tcW w:w="1560"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全年预算数</w:t>
            </w:r>
          </w:p>
        </w:tc>
        <w:tc>
          <w:tcPr>
            <w:tcW w:w="1440"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全年执行数</w:t>
            </w:r>
          </w:p>
        </w:tc>
        <w:tc>
          <w:tcPr>
            <w:tcW w:w="690"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630"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071"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trHeight w:val="290" w:hRule="atLeast"/>
          <w:jc w:val="center"/>
        </w:trPr>
        <w:tc>
          <w:tcPr>
            <w:tcW w:w="1080" w:type="dxa"/>
            <w:vMerge w:val="continue"/>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2108" w:type="dxa"/>
            <w:gridSpan w:val="2"/>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color w:val="000000"/>
                <w:sz w:val="20"/>
                <w:szCs w:val="20"/>
                <w:highlight w:val="none"/>
              </w:rPr>
              <w:t>年度资金总额</w:t>
            </w:r>
          </w:p>
        </w:tc>
        <w:tc>
          <w:tcPr>
            <w:tcW w:w="1500"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1103.61</w:t>
            </w:r>
          </w:p>
        </w:tc>
        <w:tc>
          <w:tcPr>
            <w:tcW w:w="1560"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lang w:eastAsia="zh-CN"/>
              </w:rPr>
            </w:pPr>
            <w:r>
              <w:rPr>
                <w:rFonts w:hint="eastAsia" w:ascii="仿宋_GB2312" w:hAnsi="仿宋_GB2312" w:eastAsia="仿宋_GB2312" w:cs="仿宋_GB2312"/>
                <w:sz w:val="20"/>
                <w:szCs w:val="20"/>
                <w:highlight w:val="none"/>
                <w:lang w:eastAsia="zh-CN"/>
              </w:rPr>
              <w:t>2278</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lang w:eastAsia="zh-CN"/>
              </w:rPr>
              <w:t>2</w:t>
            </w:r>
            <w:r>
              <w:rPr>
                <w:rFonts w:hint="eastAsia" w:ascii="仿宋_GB2312" w:hAnsi="仿宋_GB2312" w:eastAsia="仿宋_GB2312" w:cs="仿宋_GB2312"/>
                <w:sz w:val="20"/>
                <w:szCs w:val="20"/>
                <w:highlight w:val="none"/>
                <w:lang w:val="en-US" w:eastAsia="zh-CN"/>
              </w:rPr>
              <w:t>6</w:t>
            </w:r>
          </w:p>
        </w:tc>
        <w:tc>
          <w:tcPr>
            <w:tcW w:w="1440"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lang w:eastAsia="zh-CN"/>
              </w:rPr>
              <w:t>2278</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lang w:eastAsia="zh-CN"/>
              </w:rPr>
              <w:t>2</w:t>
            </w:r>
            <w:r>
              <w:rPr>
                <w:rFonts w:hint="eastAsia" w:ascii="仿宋_GB2312" w:hAnsi="仿宋_GB2312" w:eastAsia="仿宋_GB2312" w:cs="仿宋_GB2312"/>
                <w:sz w:val="20"/>
                <w:szCs w:val="20"/>
                <w:highlight w:val="none"/>
                <w:lang w:val="en-US" w:eastAsia="zh-CN"/>
              </w:rPr>
              <w:t>6</w:t>
            </w:r>
          </w:p>
        </w:tc>
        <w:tc>
          <w:tcPr>
            <w:tcW w:w="690" w:type="dxa"/>
            <w:tcBorders>
              <w:top w:val="nil"/>
              <w:left w:val="nil"/>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10</w:t>
            </w:r>
          </w:p>
        </w:tc>
        <w:tc>
          <w:tcPr>
            <w:tcW w:w="630"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100%</w:t>
            </w:r>
          </w:p>
        </w:tc>
        <w:tc>
          <w:tcPr>
            <w:tcW w:w="1071" w:type="dxa"/>
            <w:tcBorders>
              <w:top w:val="nil"/>
              <w:left w:val="nil"/>
              <w:bottom w:val="single" w:color="auto" w:sz="4" w:space="0"/>
              <w:right w:val="single" w:color="auto" w:sz="4" w:space="0"/>
            </w:tcBorders>
            <w:noWrap w:val="0"/>
            <w:vAlign w:val="center"/>
          </w:tcPr>
          <w:p>
            <w:pPr>
              <w:spacing w:line="240" w:lineRule="exact"/>
              <w:jc w:val="center"/>
              <w:rPr>
                <w:rFonts w:hint="default" w:ascii="仿宋_GB2312" w:hAnsi="仿宋_GB2312" w:eastAsia="仿宋_GB2312" w:cs="仿宋_GB2312"/>
                <w:sz w:val="20"/>
                <w:szCs w:val="20"/>
                <w:highlight w:val="none"/>
                <w:lang w:val="en-US" w:eastAsia="zh-CN"/>
              </w:rPr>
            </w:pPr>
            <w:r>
              <w:rPr>
                <w:rFonts w:hint="eastAsia" w:ascii="仿宋_GB2312" w:hAnsi="仿宋_GB2312" w:eastAsia="仿宋_GB2312" w:cs="仿宋_GB2312"/>
                <w:sz w:val="20"/>
                <w:szCs w:val="20"/>
                <w:highlight w:val="none"/>
                <w:lang w:val="en-US" w:eastAsia="zh-CN"/>
              </w:rPr>
              <w:t>10</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5168"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按收入性质分：</w:t>
            </w:r>
          </w:p>
        </w:tc>
        <w:tc>
          <w:tcPr>
            <w:tcW w:w="3831"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按支出性质分：</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5168"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 xml:space="preserve">  其中：  一般公共预算：</w:t>
            </w:r>
            <w:r>
              <w:rPr>
                <w:rFonts w:hint="eastAsia" w:ascii="仿宋_GB2312" w:hAnsi="仿宋_GB2312" w:eastAsia="仿宋_GB2312" w:cs="仿宋_GB2312"/>
                <w:sz w:val="20"/>
                <w:szCs w:val="20"/>
                <w:highlight w:val="none"/>
                <w:lang w:eastAsia="zh-CN"/>
              </w:rPr>
              <w:t>2278</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lang w:eastAsia="zh-CN"/>
              </w:rPr>
              <w:t>2</w:t>
            </w:r>
            <w:r>
              <w:rPr>
                <w:rFonts w:hint="eastAsia" w:ascii="仿宋_GB2312" w:hAnsi="仿宋_GB2312" w:eastAsia="仿宋_GB2312" w:cs="仿宋_GB2312"/>
                <w:sz w:val="20"/>
                <w:szCs w:val="20"/>
                <w:highlight w:val="none"/>
                <w:lang w:val="en-US" w:eastAsia="zh-CN"/>
              </w:rPr>
              <w:t>6</w:t>
            </w:r>
          </w:p>
        </w:tc>
        <w:tc>
          <w:tcPr>
            <w:tcW w:w="3831"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其中：基本支出：</w:t>
            </w:r>
            <w:r>
              <w:rPr>
                <w:rFonts w:hint="eastAsia" w:ascii="仿宋_GB2312" w:hAnsi="仿宋_GB2312" w:eastAsia="仿宋_GB2312" w:cs="仿宋_GB2312"/>
                <w:sz w:val="20"/>
                <w:szCs w:val="20"/>
                <w:highlight w:val="none"/>
              </w:rPr>
              <w:t>370</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rPr>
              <w:t>7</w:t>
            </w:r>
            <w:r>
              <w:rPr>
                <w:rFonts w:hint="eastAsia" w:ascii="仿宋_GB2312" w:hAnsi="仿宋_GB2312" w:eastAsia="仿宋_GB2312" w:cs="仿宋_GB2312"/>
                <w:sz w:val="20"/>
                <w:szCs w:val="20"/>
                <w:highlight w:val="none"/>
                <w:lang w:val="en-US" w:eastAsia="zh-CN"/>
              </w:rPr>
              <w:t>2</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5168" w:type="dxa"/>
            <w:gridSpan w:val="4"/>
            <w:tcBorders>
              <w:top w:val="nil"/>
              <w:left w:val="nil"/>
              <w:bottom w:val="single" w:color="auto" w:sz="4" w:space="0"/>
              <w:right w:val="single" w:color="auto" w:sz="4" w:space="0"/>
            </w:tcBorders>
            <w:noWrap w:val="0"/>
            <w:vAlign w:val="center"/>
          </w:tcPr>
          <w:p>
            <w:pPr>
              <w:widowControl/>
              <w:spacing w:line="240" w:lineRule="exact"/>
              <w:ind w:firstLine="800" w:firstLineChars="400"/>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政府性基金拨款：</w:t>
            </w:r>
          </w:p>
        </w:tc>
        <w:tc>
          <w:tcPr>
            <w:tcW w:w="3831" w:type="dxa"/>
            <w:gridSpan w:val="4"/>
            <w:tcBorders>
              <w:top w:val="nil"/>
              <w:left w:val="nil"/>
              <w:bottom w:val="single" w:color="auto" w:sz="4" w:space="0"/>
              <w:right w:val="single" w:color="auto" w:sz="4" w:space="0"/>
            </w:tcBorders>
            <w:noWrap w:val="0"/>
            <w:vAlign w:val="center"/>
          </w:tcPr>
          <w:p>
            <w:pPr>
              <w:widowControl/>
              <w:spacing w:line="240" w:lineRule="exact"/>
              <w:ind w:firstLine="600" w:firstLineChars="300"/>
              <w:jc w:val="left"/>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项目支出：1907.54</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5168"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纳入专户管理的非税收入拨款：</w:t>
            </w:r>
          </w:p>
        </w:tc>
        <w:tc>
          <w:tcPr>
            <w:tcW w:w="3831"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80" w:type="dxa"/>
            <w:vMerge w:val="continue"/>
            <w:tcBorders>
              <w:left w:val="single" w:color="auto" w:sz="4" w:space="0"/>
              <w:bottom w:val="single" w:color="000000"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5168" w:type="dxa"/>
            <w:gridSpan w:val="4"/>
            <w:tcBorders>
              <w:top w:val="nil"/>
              <w:left w:val="nil"/>
              <w:bottom w:val="single" w:color="auto" w:sz="4" w:space="0"/>
              <w:right w:val="single" w:color="auto" w:sz="4" w:space="0"/>
            </w:tcBorders>
            <w:noWrap w:val="0"/>
            <w:vAlign w:val="center"/>
          </w:tcPr>
          <w:p>
            <w:pPr>
              <w:widowControl/>
              <w:spacing w:line="240" w:lineRule="exact"/>
              <w:ind w:firstLine="1400" w:firstLineChars="700"/>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其他资金：</w:t>
            </w:r>
          </w:p>
        </w:tc>
        <w:tc>
          <w:tcPr>
            <w:tcW w:w="3831" w:type="dxa"/>
            <w:gridSpan w:val="4"/>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5168" w:type="dxa"/>
            <w:gridSpan w:val="4"/>
            <w:tcBorders>
              <w:top w:val="single" w:color="auto" w:sz="4" w:space="0"/>
              <w:left w:val="nil"/>
              <w:bottom w:val="single" w:color="auto" w:sz="4" w:space="0"/>
              <w:right w:val="single" w:color="000000"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3831" w:type="dxa"/>
            <w:gridSpan w:val="4"/>
            <w:tcBorders>
              <w:top w:val="single" w:color="auto" w:sz="4" w:space="0"/>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5168" w:type="dxa"/>
            <w:gridSpan w:val="4"/>
            <w:tcBorders>
              <w:top w:val="single" w:color="auto" w:sz="4" w:space="0"/>
              <w:left w:val="nil"/>
              <w:bottom w:val="single" w:color="auto" w:sz="4" w:space="0"/>
              <w:right w:val="single" w:color="000000" w:sz="4" w:space="0"/>
            </w:tcBorders>
            <w:noWrap w:val="0"/>
            <w:vAlign w:val="top"/>
          </w:tcPr>
          <w:p>
            <w:pPr>
              <w:widowControl/>
              <w:spacing w:line="240" w:lineRule="exact"/>
              <w:jc w:val="left"/>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val="en-US" w:eastAsia="zh-CN"/>
              </w:rPr>
              <w:t>推行预算绩效管理，强化对资金使用情况的预算约束和监督，围绕部门职责，积极推动各项工作任务的落实见效，提高财政资金的作用效能，促进管理效能的大力提升</w:t>
            </w:r>
            <w:r>
              <w:rPr>
                <w:rFonts w:hint="eastAsia" w:ascii="Times New Roman" w:hAnsi="Times New Roman" w:eastAsia="仿宋_GB2312" w:cs="Times New Roman"/>
                <w:color w:val="000000"/>
                <w:kern w:val="0"/>
                <w:sz w:val="32"/>
                <w:szCs w:val="32"/>
                <w:highlight w:val="none"/>
                <w:lang w:val="en-US" w:eastAsia="zh-CN" w:bidi="ar-SA"/>
              </w:rPr>
              <w:t>。</w:t>
            </w:r>
          </w:p>
        </w:tc>
        <w:tc>
          <w:tcPr>
            <w:tcW w:w="3831" w:type="dxa"/>
            <w:gridSpan w:val="4"/>
            <w:tcBorders>
              <w:top w:val="single" w:color="auto" w:sz="4" w:space="0"/>
              <w:left w:val="nil"/>
              <w:bottom w:val="single" w:color="auto" w:sz="4" w:space="0"/>
              <w:right w:val="single" w:color="auto" w:sz="4" w:space="0"/>
            </w:tcBorders>
            <w:noWrap w:val="0"/>
            <w:vAlign w:val="top"/>
          </w:tcPr>
          <w:p>
            <w:pPr>
              <w:widowControl/>
              <w:spacing w:line="240" w:lineRule="exact"/>
              <w:jc w:val="both"/>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在安置就业工作上见成效，在服务保障工作上求突破，全力保障党组决策部署落地见效，提高财政资金使用绩效，促进管理效能提升</w:t>
            </w:r>
            <w:r>
              <w:rPr>
                <w:rFonts w:hint="eastAsia" w:ascii="Times New Roman" w:hAnsi="Times New Roman" w:eastAsia="仿宋_GB2312" w:cs="Times New Roman"/>
                <w:color w:val="000000"/>
                <w:kern w:val="0"/>
                <w:sz w:val="32"/>
                <w:szCs w:val="32"/>
                <w:highlight w:val="none"/>
                <w:lang w:val="en-US" w:eastAsia="zh-CN" w:bidi="ar-SA"/>
              </w:rPr>
              <w:t>。</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p>
            <w:pPr>
              <w:widowControl/>
              <w:spacing w:line="240" w:lineRule="exact"/>
              <w:jc w:val="center"/>
              <w:rPr>
                <w:rFonts w:hint="eastAsia" w:ascii="仿宋_GB2312" w:hAnsi="仿宋_GB2312" w:eastAsia="仿宋_GB2312" w:cs="仿宋_GB2312"/>
                <w:color w:val="000000"/>
                <w:sz w:val="20"/>
                <w:szCs w:val="20"/>
                <w:highlight w:val="none"/>
              </w:rPr>
            </w:pPr>
          </w:p>
        </w:tc>
        <w:tc>
          <w:tcPr>
            <w:tcW w:w="108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1028"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50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年度指标值</w:t>
            </w:r>
          </w:p>
        </w:tc>
        <w:tc>
          <w:tcPr>
            <w:tcW w:w="1440" w:type="dxa"/>
            <w:tcBorders>
              <w:top w:val="nil"/>
              <w:left w:val="nil"/>
              <w:bottom w:val="single" w:color="auto" w:sz="4" w:space="0"/>
              <w:right w:val="single" w:color="auto" w:sz="4" w:space="0"/>
            </w:tcBorders>
            <w:noWrap w:val="0"/>
            <w:vAlign w:val="center"/>
          </w:tcPr>
          <w:p>
            <w:pPr>
              <w:widowControl/>
              <w:spacing w:line="240" w:lineRule="exac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实际完成值</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63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trHeight w:val="235"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产出指标</w:t>
            </w:r>
          </w:p>
          <w:p>
            <w:pPr>
              <w:widowControl/>
              <w:spacing w:line="240" w:lineRule="exact"/>
              <w:jc w:val="center"/>
              <w:rPr>
                <w:rFonts w:hint="eastAsia" w:ascii="仿宋_GB2312" w:hAnsi="仿宋_GB2312" w:eastAsia="仿宋_GB2312" w:cs="仿宋_GB2312"/>
                <w:color w:val="000000"/>
                <w:sz w:val="20"/>
                <w:szCs w:val="20"/>
                <w:highlight w:val="none"/>
              </w:rPr>
            </w:pP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(50分)</w:t>
            </w:r>
          </w:p>
        </w:tc>
        <w:tc>
          <w:tcPr>
            <w:tcW w:w="102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50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val="en-US" w:eastAsia="zh-CN"/>
              </w:rPr>
              <w:t>落实优抚优待补助政策，及时发放补助</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1186人</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1186人</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63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50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val="en-US" w:eastAsia="zh-CN"/>
              </w:rPr>
              <w:t>做好</w:t>
            </w:r>
            <w:r>
              <w:rPr>
                <w:rFonts w:hint="eastAsia" w:ascii="仿宋_GB2312" w:hAnsi="仿宋_GB2312" w:eastAsia="仿宋_GB2312" w:cs="仿宋_GB2312"/>
                <w:color w:val="000000"/>
                <w:kern w:val="0"/>
                <w:sz w:val="20"/>
                <w:szCs w:val="20"/>
                <w:lang w:val="en-US" w:eastAsia="zh-CN" w:bidi="ar-SA"/>
              </w:rPr>
              <w:t>退役军人</w:t>
            </w:r>
            <w:r>
              <w:rPr>
                <w:rFonts w:hint="eastAsia" w:ascii="仿宋_GB2312" w:hAnsi="仿宋_GB2312" w:eastAsia="仿宋_GB2312" w:cs="仿宋_GB2312"/>
                <w:color w:val="000000"/>
                <w:sz w:val="20"/>
                <w:szCs w:val="20"/>
                <w:highlight w:val="none"/>
                <w:lang w:val="en-US" w:eastAsia="zh-CN"/>
              </w:rPr>
              <w:t>接收安置就业工作</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100人</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100人</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5</w:t>
            </w:r>
          </w:p>
        </w:tc>
        <w:tc>
          <w:tcPr>
            <w:tcW w:w="63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500"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开展“双拥”活动</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eastAsia="zh-CN"/>
              </w:rPr>
              <w:t>≥</w:t>
            </w:r>
            <w:r>
              <w:rPr>
                <w:rFonts w:hint="eastAsia" w:ascii="仿宋_GB2312" w:hAnsi="仿宋_GB2312" w:eastAsia="仿宋_GB2312" w:cs="仿宋_GB2312"/>
                <w:color w:val="000000"/>
                <w:sz w:val="20"/>
                <w:szCs w:val="20"/>
                <w:highlight w:val="none"/>
                <w:lang w:val="en-US" w:eastAsia="zh-CN"/>
              </w:rPr>
              <w:t>4次</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5次</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5</w:t>
            </w:r>
          </w:p>
        </w:tc>
        <w:tc>
          <w:tcPr>
            <w:tcW w:w="63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8"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500"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补助发放率</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r>
              <w:rPr>
                <w:rFonts w:hint="eastAsia" w:ascii="Arial" w:hAnsi="Arial" w:eastAsia="仿宋_GB2312" w:cs="Arial"/>
                <w:color w:val="000000"/>
                <w:sz w:val="20"/>
                <w:szCs w:val="20"/>
                <w:highlight w:val="none"/>
                <w:lang w:val="en-US" w:eastAsia="zh-CN"/>
              </w:rPr>
              <w:t>%</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63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kern w:val="0"/>
                <w:sz w:val="20"/>
                <w:szCs w:val="20"/>
                <w:highlight w:val="none"/>
                <w:lang w:val="en-US" w:eastAsia="zh-CN" w:bidi="ar-SA"/>
              </w:rPr>
              <w:t>5</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295"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hint="eastAsia" w:ascii="仿宋_GB2312" w:hAnsi="仿宋_GB2312" w:eastAsia="仿宋_GB2312" w:cs="仿宋_GB2312"/>
                <w:color w:val="000000"/>
                <w:sz w:val="20"/>
                <w:szCs w:val="20"/>
                <w:highlight w:val="none"/>
              </w:rPr>
            </w:pPr>
          </w:p>
        </w:tc>
        <w:tc>
          <w:tcPr>
            <w:tcW w:w="150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退役安置对象就业率</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r>
              <w:rPr>
                <w:rFonts w:hint="eastAsia" w:ascii="Arial" w:hAnsi="Arial" w:eastAsia="仿宋_GB2312" w:cs="Arial"/>
                <w:color w:val="000000"/>
                <w:sz w:val="20"/>
                <w:szCs w:val="20"/>
                <w:highlight w:val="none"/>
                <w:lang w:val="en-US" w:eastAsia="zh-CN"/>
              </w:rPr>
              <w:t>%</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r>
              <w:rPr>
                <w:rFonts w:hint="eastAsia" w:ascii="Arial" w:hAnsi="Arial" w:eastAsia="仿宋_GB2312" w:cs="Arial"/>
                <w:color w:val="000000"/>
                <w:sz w:val="20"/>
                <w:szCs w:val="20"/>
                <w:highlight w:val="none"/>
                <w:lang w:val="en-US" w:eastAsia="zh-CN"/>
              </w:rPr>
              <w:t>%</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lang w:val="en-US" w:eastAsia="zh-CN"/>
              </w:rPr>
              <w:t>5</w:t>
            </w:r>
          </w:p>
        </w:tc>
        <w:tc>
          <w:tcPr>
            <w:tcW w:w="63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8"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500" w:type="dxa"/>
            <w:tcBorders>
              <w:top w:val="nil"/>
              <w:left w:val="nil"/>
              <w:bottom w:val="single" w:color="auto" w:sz="4" w:space="0"/>
              <w:right w:val="single" w:color="auto" w:sz="4" w:space="0"/>
            </w:tcBorders>
            <w:noWrap w:val="0"/>
            <w:vAlign w:val="center"/>
          </w:tcPr>
          <w:p>
            <w:pPr>
              <w:widowControl/>
              <w:spacing w:line="240" w:lineRule="exact"/>
              <w:jc w:val="both"/>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走访慰问完成率</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r>
              <w:rPr>
                <w:rFonts w:hint="eastAsia" w:ascii="Arial" w:hAnsi="Arial" w:eastAsia="仿宋_GB2312" w:cs="Arial"/>
                <w:color w:val="000000"/>
                <w:sz w:val="20"/>
                <w:szCs w:val="20"/>
                <w:highlight w:val="none"/>
                <w:lang w:val="en-US" w:eastAsia="zh-CN"/>
              </w:rPr>
              <w:t>%</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5</w:t>
            </w:r>
          </w:p>
        </w:tc>
        <w:tc>
          <w:tcPr>
            <w:tcW w:w="63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50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lang w:eastAsia="zh-CN"/>
              </w:rPr>
              <w:t>按</w:t>
            </w:r>
            <w:r>
              <w:rPr>
                <w:rFonts w:hint="eastAsia" w:ascii="仿宋_GB2312" w:hAnsi="仿宋_GB2312" w:eastAsia="仿宋_GB2312" w:cs="仿宋_GB2312"/>
                <w:color w:val="000000"/>
                <w:sz w:val="20"/>
                <w:szCs w:val="20"/>
              </w:rPr>
              <w:t>计划时间完成任务</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2023、12、31</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2023、12、31</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lang w:val="en-US" w:eastAsia="zh-CN"/>
              </w:rPr>
              <w:t>10</w:t>
            </w:r>
          </w:p>
        </w:tc>
        <w:tc>
          <w:tcPr>
            <w:tcW w:w="63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50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rPr>
              <w:t>完成任务支出不超过预算批复金额</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eastAsia="zh-CN"/>
              </w:rPr>
            </w:pPr>
            <w:r>
              <w:rPr>
                <w:rFonts w:hint="default" w:ascii="Arial" w:hAnsi="Arial" w:eastAsia="仿宋_GB2312" w:cs="Arial"/>
                <w:sz w:val="20"/>
                <w:szCs w:val="20"/>
                <w:highlight w:val="none"/>
              </w:rPr>
              <w:t>≤</w:t>
            </w:r>
            <w:r>
              <w:rPr>
                <w:rFonts w:hint="eastAsia" w:ascii="仿宋_GB2312" w:hAnsi="仿宋_GB2312" w:eastAsia="仿宋_GB2312" w:cs="仿宋_GB2312"/>
                <w:sz w:val="20"/>
                <w:szCs w:val="20"/>
                <w:highlight w:val="none"/>
                <w:lang w:eastAsia="zh-CN"/>
              </w:rPr>
              <w:t>2278</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lang w:eastAsia="zh-CN"/>
              </w:rPr>
              <w:t>2</w:t>
            </w:r>
            <w:r>
              <w:rPr>
                <w:rFonts w:hint="eastAsia" w:ascii="仿宋_GB2312" w:hAnsi="仿宋_GB2312" w:eastAsia="仿宋_GB2312" w:cs="仿宋_GB2312"/>
                <w:sz w:val="20"/>
                <w:szCs w:val="20"/>
                <w:highlight w:val="none"/>
                <w:lang w:val="en-US" w:eastAsia="zh-CN"/>
              </w:rPr>
              <w:t>6</w:t>
            </w:r>
            <w:r>
              <w:rPr>
                <w:rFonts w:hint="eastAsia" w:ascii="仿宋_GB2312" w:hAnsi="仿宋_GB2312" w:eastAsia="仿宋_GB2312" w:cs="仿宋_GB2312"/>
                <w:color w:val="000000"/>
                <w:sz w:val="20"/>
                <w:szCs w:val="20"/>
                <w:highlight w:val="none"/>
                <w:lang w:val="en-US" w:eastAsia="zh-CN"/>
              </w:rPr>
              <w:t>万元</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sz w:val="20"/>
                <w:szCs w:val="20"/>
                <w:highlight w:val="none"/>
                <w:lang w:eastAsia="zh-CN"/>
              </w:rPr>
              <w:t>2278</w:t>
            </w:r>
            <w:r>
              <w:rPr>
                <w:rFonts w:hint="eastAsia" w:ascii="仿宋_GB2312" w:hAnsi="仿宋_GB2312" w:eastAsia="仿宋_GB2312" w:cs="仿宋_GB2312"/>
                <w:sz w:val="20"/>
                <w:szCs w:val="20"/>
                <w:highlight w:val="none"/>
                <w:lang w:val="en-US" w:eastAsia="zh-CN"/>
              </w:rPr>
              <w:t>.</w:t>
            </w:r>
            <w:r>
              <w:rPr>
                <w:rFonts w:hint="eastAsia" w:ascii="仿宋_GB2312" w:hAnsi="仿宋_GB2312" w:eastAsia="仿宋_GB2312" w:cs="仿宋_GB2312"/>
                <w:sz w:val="20"/>
                <w:szCs w:val="20"/>
                <w:highlight w:val="none"/>
                <w:lang w:eastAsia="zh-CN"/>
              </w:rPr>
              <w:t>2</w:t>
            </w:r>
            <w:r>
              <w:rPr>
                <w:rFonts w:hint="eastAsia" w:ascii="仿宋_GB2312" w:hAnsi="仿宋_GB2312" w:eastAsia="仿宋_GB2312" w:cs="仿宋_GB2312"/>
                <w:sz w:val="20"/>
                <w:szCs w:val="20"/>
                <w:highlight w:val="none"/>
                <w:lang w:val="en-US" w:eastAsia="zh-CN"/>
              </w:rPr>
              <w:t>6</w:t>
            </w:r>
            <w:r>
              <w:rPr>
                <w:rFonts w:hint="eastAsia" w:ascii="仿宋_GB2312" w:hAnsi="仿宋_GB2312" w:eastAsia="仿宋_GB2312" w:cs="仿宋_GB2312"/>
                <w:color w:val="000000"/>
                <w:sz w:val="20"/>
                <w:szCs w:val="20"/>
                <w:highlight w:val="none"/>
                <w:lang w:val="en-US" w:eastAsia="zh-CN"/>
              </w:rPr>
              <w:t>万元</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5</w:t>
            </w:r>
          </w:p>
        </w:tc>
        <w:tc>
          <w:tcPr>
            <w:tcW w:w="63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widowControl/>
              <w:spacing w:line="240" w:lineRule="exact"/>
              <w:jc w:val="left"/>
              <w:rPr>
                <w:rFonts w:hint="eastAsia" w:ascii="仿宋_GB2312" w:hAnsi="仿宋_GB2312" w:eastAsia="仿宋_GB2312" w:cs="仿宋_GB2312"/>
                <w:color w:val="000000"/>
                <w:sz w:val="20"/>
                <w:szCs w:val="20"/>
                <w:highlight w:val="none"/>
              </w:rPr>
            </w:pPr>
          </w:p>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（30分）</w:t>
            </w:r>
          </w:p>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2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500" w:type="dxa"/>
            <w:tcBorders>
              <w:top w:val="nil"/>
              <w:left w:val="nil"/>
              <w:bottom w:val="single" w:color="auto" w:sz="4" w:space="0"/>
              <w:right w:val="single" w:color="auto" w:sz="4" w:space="0"/>
            </w:tcBorders>
            <w:noWrap w:val="0"/>
            <w:vAlign w:val="center"/>
          </w:tcPr>
          <w:p>
            <w:pPr>
              <w:pStyle w:val="2"/>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bidi="ar-SA"/>
              </w:rPr>
              <w:t>助推经济社会发展</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效果明显</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效果明显</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63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50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kern w:val="0"/>
                <w:sz w:val="20"/>
                <w:szCs w:val="20"/>
                <w:lang w:val="en-US" w:eastAsia="zh-CN" w:bidi="ar-SA"/>
              </w:rPr>
            </w:pPr>
            <w:r>
              <w:rPr>
                <w:rFonts w:hint="eastAsia" w:ascii="仿宋_GB2312" w:hAnsi="仿宋_GB2312" w:eastAsia="仿宋_GB2312" w:cs="仿宋_GB2312"/>
                <w:color w:val="000000"/>
                <w:kern w:val="0"/>
                <w:sz w:val="20"/>
                <w:szCs w:val="20"/>
                <w:lang w:val="en-US" w:eastAsia="zh-CN" w:bidi="ar-SA"/>
              </w:rPr>
              <w:t>促进社会和谐稳定，</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效果明显</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效果明显</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lang w:val="en-US" w:eastAsia="zh-CN"/>
              </w:rPr>
              <w:t>10</w:t>
            </w:r>
          </w:p>
        </w:tc>
        <w:tc>
          <w:tcPr>
            <w:tcW w:w="63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生态效</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50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无明显影响</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无明显影响</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无明显影响</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lang w:val="en-US" w:eastAsia="zh-CN"/>
              </w:rPr>
            </w:pPr>
          </w:p>
        </w:tc>
        <w:tc>
          <w:tcPr>
            <w:tcW w:w="630"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290" w:hRule="atLeast"/>
          <w:jc w:val="center"/>
        </w:trPr>
        <w:tc>
          <w:tcPr>
            <w:tcW w:w="1080" w:type="dxa"/>
            <w:vMerge w:val="continue"/>
            <w:tcBorders>
              <w:left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p>
        </w:tc>
        <w:tc>
          <w:tcPr>
            <w:tcW w:w="102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50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服务经济社会发展，促进社会和谐稳定。</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效果明显</w:t>
            </w:r>
          </w:p>
        </w:tc>
        <w:tc>
          <w:tcPr>
            <w:tcW w:w="144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效果明显</w:t>
            </w:r>
          </w:p>
        </w:tc>
        <w:tc>
          <w:tcPr>
            <w:tcW w:w="69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63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071"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330" w:hRule="atLeast"/>
          <w:jc w:val="center"/>
        </w:trPr>
        <w:tc>
          <w:tcPr>
            <w:tcW w:w="1080" w:type="dxa"/>
            <w:vMerge w:val="continue"/>
            <w:tcBorders>
              <w:left w:val="single" w:color="auto" w:sz="4" w:space="0"/>
              <w:right w:val="single" w:color="auto" w:sz="4" w:space="0"/>
            </w:tcBorders>
            <w:noWrap w:val="0"/>
            <w:vAlign w:val="center"/>
          </w:tcPr>
          <w:p>
            <w:pPr>
              <w:spacing w:line="240" w:lineRule="exact"/>
              <w:jc w:val="left"/>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1028" w:type="dxa"/>
            <w:tcBorders>
              <w:top w:val="single" w:color="auto" w:sz="4" w:space="0"/>
              <w:left w:val="single" w:color="auto" w:sz="4" w:space="0"/>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50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社会公众或服务对象满意度</w:t>
            </w:r>
          </w:p>
        </w:tc>
        <w:tc>
          <w:tcPr>
            <w:tcW w:w="1560"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宋体" w:hAnsi="宋体" w:eastAsia="宋体" w:cs="宋体"/>
                <w:color w:val="000000"/>
                <w:sz w:val="20"/>
                <w:szCs w:val="20"/>
                <w:highlight w:val="none"/>
              </w:rPr>
              <w:t>≧</w:t>
            </w:r>
            <w:r>
              <w:rPr>
                <w:rFonts w:hint="eastAsia" w:ascii="仿宋_GB2312" w:hAnsi="仿宋_GB2312" w:eastAsia="仿宋_GB2312" w:cs="仿宋_GB2312"/>
                <w:color w:val="000000"/>
                <w:sz w:val="20"/>
                <w:szCs w:val="20"/>
                <w:highlight w:val="none"/>
                <w:lang w:val="en-US" w:eastAsia="zh-CN"/>
              </w:rPr>
              <w:t>95%</w:t>
            </w:r>
          </w:p>
        </w:tc>
        <w:tc>
          <w:tcPr>
            <w:tcW w:w="144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宋体" w:hAnsi="宋体" w:eastAsia="宋体" w:cs="宋体"/>
                <w:color w:val="000000"/>
                <w:sz w:val="20"/>
                <w:szCs w:val="20"/>
                <w:highlight w:val="none"/>
              </w:rPr>
              <w:t>≧</w:t>
            </w:r>
            <w:r>
              <w:rPr>
                <w:rFonts w:hint="eastAsia" w:ascii="仿宋_GB2312" w:hAnsi="仿宋_GB2312" w:eastAsia="仿宋_GB2312" w:cs="仿宋_GB2312"/>
                <w:color w:val="000000"/>
                <w:sz w:val="20"/>
                <w:szCs w:val="20"/>
                <w:highlight w:val="none"/>
                <w:lang w:val="en-US" w:eastAsia="zh-CN"/>
              </w:rPr>
              <w:t>95%</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630"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270" w:hRule="atLeast"/>
          <w:jc w:val="center"/>
        </w:trPr>
        <w:tc>
          <w:tcPr>
            <w:tcW w:w="7688" w:type="dxa"/>
            <w:gridSpan w:val="6"/>
            <w:tcBorders>
              <w:top w:val="single" w:color="auto" w:sz="4" w:space="0"/>
              <w:left w:val="single" w:color="auto" w:sz="4" w:space="0"/>
              <w:bottom w:val="single" w:color="auto" w:sz="4" w:space="0"/>
              <w:right w:val="single" w:color="000000"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690" w:type="dxa"/>
            <w:tcBorders>
              <w:top w:val="nil"/>
              <w:left w:val="nil"/>
              <w:bottom w:val="single" w:color="auto" w:sz="4" w:space="0"/>
              <w:right w:val="single" w:color="auto" w:sz="4" w:space="0"/>
            </w:tcBorders>
            <w:noWrap w:val="0"/>
            <w:vAlign w:val="center"/>
          </w:tcPr>
          <w:p>
            <w:pPr>
              <w:widowControl/>
              <w:spacing w:line="240" w:lineRule="exact"/>
              <w:jc w:val="center"/>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100</w:t>
            </w:r>
          </w:p>
        </w:tc>
        <w:tc>
          <w:tcPr>
            <w:tcW w:w="630" w:type="dxa"/>
            <w:tcBorders>
              <w:top w:val="nil"/>
              <w:left w:val="nil"/>
              <w:bottom w:val="single" w:color="auto" w:sz="4" w:space="0"/>
              <w:right w:val="single" w:color="auto" w:sz="4" w:space="0"/>
            </w:tcBorders>
            <w:noWrap w:val="0"/>
            <w:vAlign w:val="center"/>
          </w:tcPr>
          <w:p>
            <w:pPr>
              <w:widowControl/>
              <w:spacing w:line="240" w:lineRule="exact"/>
              <w:jc w:val="left"/>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97</w:t>
            </w:r>
          </w:p>
        </w:tc>
        <w:tc>
          <w:tcPr>
            <w:tcW w:w="1071" w:type="dxa"/>
            <w:tcBorders>
              <w:top w:val="nil"/>
              <w:left w:val="nil"/>
              <w:bottom w:val="single" w:color="auto" w:sz="4" w:space="0"/>
              <w:right w:val="single" w:color="auto" w:sz="4" w:space="0"/>
            </w:tcBorders>
            <w:noWrap w:val="0"/>
            <w:vAlign w:val="center"/>
          </w:tcPr>
          <w:p>
            <w:pPr>
              <w:widowControl/>
              <w:spacing w:line="240" w:lineRule="exact"/>
              <w:jc w:val="left"/>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bl>
    <w:p>
      <w:pPr>
        <w:keepNext w:val="0"/>
        <w:keepLines w:val="0"/>
        <w:pageBreakBefore w:val="0"/>
        <w:widowControl w:val="0"/>
        <w:kinsoku/>
        <w:wordWrap/>
        <w:overflowPunct/>
        <w:topLinePunct w:val="0"/>
        <w:autoSpaceDE/>
        <w:autoSpaceDN/>
        <w:bidi w:val="0"/>
        <w:adjustRightInd/>
        <w:snapToGrid/>
        <w:spacing w:afterLines="0" w:line="360" w:lineRule="auto"/>
        <w:ind w:right="0" w:rightChars="0"/>
        <w:jc w:val="both"/>
        <w:textAlignment w:val="auto"/>
        <w:rPr>
          <w:rFonts w:hint="default" w:ascii="Times New Roman" w:hAnsi="Times New Roman" w:eastAsia="仿宋_GB2312" w:cs="Times New Roman"/>
          <w:sz w:val="22"/>
          <w:szCs w:val="22"/>
          <w:highlight w:val="none"/>
        </w:rPr>
      </w:pPr>
      <w:r>
        <w:rPr>
          <w:rFonts w:hint="default" w:ascii="Times New Roman" w:hAnsi="Times New Roman" w:eastAsia="仿宋_GB2312" w:cs="Times New Roman"/>
          <w:sz w:val="22"/>
          <w:szCs w:val="22"/>
          <w:highlight w:val="none"/>
        </w:rPr>
        <w:t xml:space="preserve">填表人：      填报日期：         联系电话：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单位负责人签字：</w:t>
      </w:r>
    </w:p>
    <w:p>
      <w:pPr>
        <w:widowControl/>
        <w:spacing w:line="600" w:lineRule="exact"/>
        <w:jc w:val="left"/>
        <w:rPr>
          <w:rFonts w:hint="default" w:ascii="Times New Roman" w:hAnsi="Times New Roman" w:eastAsia="黑体" w:cs="Times New Roman"/>
          <w:sz w:val="32"/>
          <w:szCs w:val="32"/>
          <w:highlight w:val="none"/>
          <w:lang w:val="en-US"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3-1</w:t>
      </w:r>
    </w:p>
    <w:p>
      <w:pPr>
        <w:widowControl/>
        <w:spacing w:line="600" w:lineRule="exact"/>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年度项目支出绩效自评表</w:t>
      </w:r>
    </w:p>
    <w:tbl>
      <w:tblPr>
        <w:tblStyle w:val="5"/>
        <w:tblW w:w="9851" w:type="dxa"/>
        <w:jc w:val="center"/>
        <w:tblLayout w:type="fixed"/>
        <w:tblCellMar>
          <w:top w:w="0" w:type="dxa"/>
          <w:left w:w="108" w:type="dxa"/>
          <w:bottom w:w="0" w:type="dxa"/>
          <w:right w:w="108" w:type="dxa"/>
        </w:tblCellMar>
      </w:tblPr>
      <w:tblGrid>
        <w:gridCol w:w="1080"/>
        <w:gridCol w:w="1080"/>
        <w:gridCol w:w="1080"/>
        <w:gridCol w:w="1224"/>
        <w:gridCol w:w="1378"/>
        <w:gridCol w:w="1253"/>
        <w:gridCol w:w="536"/>
        <w:gridCol w:w="802"/>
        <w:gridCol w:w="1418"/>
      </w:tblGrid>
      <w:tr>
        <w:tblPrEx>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项目支</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出名称</w:t>
            </w:r>
          </w:p>
        </w:tc>
        <w:tc>
          <w:tcPr>
            <w:tcW w:w="8771" w:type="dxa"/>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退役安置支出　</w:t>
            </w:r>
          </w:p>
        </w:tc>
      </w:tr>
      <w:tr>
        <w:tblPrEx>
          <w:tblCellMar>
            <w:top w:w="0" w:type="dxa"/>
            <w:left w:w="108" w:type="dxa"/>
            <w:bottom w:w="0" w:type="dxa"/>
            <w:right w:w="108" w:type="dxa"/>
          </w:tblCellMar>
        </w:tblPrEx>
        <w:trPr>
          <w:jc w:val="center"/>
        </w:trPr>
        <w:tc>
          <w:tcPr>
            <w:tcW w:w="108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主管部门</w:t>
            </w:r>
          </w:p>
        </w:tc>
        <w:tc>
          <w:tcPr>
            <w:tcW w:w="4762"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sz w:val="20"/>
                <w:szCs w:val="20"/>
                <w:highlight w:val="none"/>
                <w:lang w:eastAsia="zh-CN"/>
              </w:rPr>
              <w:t>岳阳市君山区退役军人事务局</w:t>
            </w:r>
          </w:p>
        </w:tc>
        <w:tc>
          <w:tcPr>
            <w:tcW w:w="1253" w:type="dxa"/>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实施单位</w:t>
            </w:r>
          </w:p>
        </w:tc>
        <w:tc>
          <w:tcPr>
            <w:tcW w:w="2756"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sz w:val="20"/>
                <w:szCs w:val="20"/>
                <w:highlight w:val="none"/>
                <w:lang w:eastAsia="zh-CN"/>
              </w:rPr>
              <w:t>岳阳市君山区退役军人事务局</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项目资金</w:t>
            </w:r>
            <w:r>
              <w:rPr>
                <w:rFonts w:hint="eastAsia" w:ascii="仿宋_GB2312" w:hAnsi="仿宋_GB2312" w:eastAsia="仿宋_GB2312" w:cs="仿宋_GB2312"/>
                <w:color w:val="000000"/>
                <w:sz w:val="20"/>
                <w:szCs w:val="20"/>
                <w:highlight w:val="none"/>
              </w:rPr>
              <w:br w:type="textWrapping"/>
            </w:r>
            <w:r>
              <w:rPr>
                <w:rFonts w:hint="eastAsia" w:ascii="仿宋_GB2312" w:hAnsi="仿宋_GB2312" w:eastAsia="仿宋_GB2312" w:cs="仿宋_GB2312"/>
                <w:color w:val="000000"/>
                <w:sz w:val="20"/>
                <w:szCs w:val="20"/>
                <w:highlight w:val="none"/>
              </w:rPr>
              <w:t>（万元）</w:t>
            </w: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年初</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全年</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执行数</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年度资金总额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124.5</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124.5</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124.5</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其中：当年财政拨款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124.5</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上年结转资金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其他资金</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4762"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4009"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4762"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严格执行国家政策，确保退役军人各项待遇</w:t>
            </w:r>
            <w:r>
              <w:rPr>
                <w:rFonts w:hint="eastAsia" w:ascii="仿宋_GB2312" w:hAnsi="仿宋_GB2312" w:eastAsia="仿宋_GB2312" w:cs="仿宋_GB2312"/>
                <w:color w:val="000000"/>
                <w:sz w:val="20"/>
                <w:szCs w:val="20"/>
                <w:highlight w:val="none"/>
              </w:rPr>
              <w:t>　　</w:t>
            </w:r>
          </w:p>
        </w:tc>
        <w:tc>
          <w:tcPr>
            <w:tcW w:w="4009"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资金拨付到位，</w:t>
            </w:r>
            <w:r>
              <w:rPr>
                <w:rFonts w:hint="eastAsia" w:ascii="仿宋_GB2312" w:hAnsi="仿宋_GB2312" w:eastAsia="仿宋_GB2312" w:cs="仿宋_GB2312"/>
                <w:color w:val="000000"/>
                <w:sz w:val="20"/>
                <w:szCs w:val="20"/>
                <w:highlight w:val="none"/>
              </w:rPr>
              <w:t>退役安置</w:t>
            </w:r>
            <w:r>
              <w:rPr>
                <w:rFonts w:hint="eastAsia" w:ascii="仿宋_GB2312" w:hAnsi="仿宋_GB2312" w:eastAsia="仿宋_GB2312" w:cs="仿宋_GB2312"/>
                <w:color w:val="000000"/>
                <w:sz w:val="20"/>
                <w:szCs w:val="20"/>
                <w:highlight w:val="none"/>
                <w:lang w:eastAsia="zh-CN"/>
              </w:rPr>
              <w:t>工作圆满完成。</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指标值</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完成值</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产出指标（50分）</w:t>
            </w: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提供就业岗位</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10个</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12个</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lang w:val="en-US" w:eastAsia="zh-CN"/>
              </w:rPr>
              <w:t>10</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发放自主就业退役士兵一次性经济补助</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100.58万元</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100.58万元</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5</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trHeight w:val="90" w:hRule="atLeast"/>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经费足额拨付率</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lang w:val="en-US" w:eastAsia="zh-CN"/>
              </w:rPr>
              <w:t>10</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政策执行率</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5</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5</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及时拨付率</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严格执行预算批复金额</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w:t>
            </w:r>
            <w:r>
              <w:rPr>
                <w:rFonts w:hint="eastAsia" w:ascii="仿宋_GB2312" w:hAnsi="仿宋_GB2312" w:eastAsia="仿宋_GB2312" w:cs="仿宋_GB2312"/>
                <w:color w:val="000000"/>
                <w:sz w:val="20"/>
                <w:szCs w:val="20"/>
                <w:highlight w:val="none"/>
              </w:rPr>
              <w:t>124.5</w:t>
            </w:r>
            <w:r>
              <w:rPr>
                <w:rFonts w:hint="eastAsia" w:ascii="仿宋_GB2312" w:hAnsi="仿宋_GB2312" w:eastAsia="仿宋_GB2312" w:cs="仿宋_GB2312"/>
                <w:color w:val="000000"/>
                <w:sz w:val="20"/>
                <w:szCs w:val="20"/>
                <w:highlight w:val="none"/>
                <w:lang w:eastAsia="zh-CN"/>
              </w:rPr>
              <w:t>万元</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124.5</w:t>
            </w:r>
            <w:r>
              <w:rPr>
                <w:rFonts w:hint="eastAsia" w:ascii="仿宋_GB2312" w:hAnsi="仿宋_GB2312" w:eastAsia="仿宋_GB2312" w:cs="仿宋_GB2312"/>
                <w:color w:val="000000"/>
                <w:sz w:val="20"/>
                <w:szCs w:val="20"/>
                <w:highlight w:val="none"/>
                <w:lang w:eastAsia="zh-CN"/>
              </w:rPr>
              <w:t>万元</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（30分）</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eastAsia="仿宋_GB2312"/>
                <w:sz w:val="24"/>
              </w:rPr>
              <w:t>退役士兵就业率</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90%以上</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95%</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kern w:val="0"/>
                <w:sz w:val="20"/>
                <w:szCs w:val="20"/>
                <w:highlight w:val="none"/>
                <w:lang w:val="en-US" w:eastAsia="zh-CN" w:bidi="ar-SA"/>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default" w:ascii="仿宋_GB2312" w:hAnsi="仿宋_GB2312" w:eastAsia="仿宋_GB2312" w:cs="仿宋_GB2312"/>
                <w:color w:val="000000"/>
                <w:sz w:val="20"/>
                <w:szCs w:val="20"/>
                <w:highlight w:val="none"/>
                <w:lang w:val="en-US" w:eastAsia="zh-CN"/>
              </w:rPr>
              <w:t>党和政府对他们的关怀落到实处。</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效果明显</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效果明显</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8</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生态效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不适用</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不适用</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不适用</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营造军人良好社会氛围</w:t>
            </w:r>
          </w:p>
        </w:tc>
        <w:tc>
          <w:tcPr>
            <w:tcW w:w="137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效果明显</w:t>
            </w:r>
          </w:p>
        </w:tc>
        <w:tc>
          <w:tcPr>
            <w:tcW w:w="125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效果明显</w:t>
            </w:r>
          </w:p>
        </w:tc>
        <w:tc>
          <w:tcPr>
            <w:tcW w:w="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r>
              <w:rPr>
                <w:rFonts w:hint="eastAsia" w:ascii="仿宋_GB2312" w:hAnsi="仿宋_GB2312" w:eastAsia="仿宋_GB2312" w:cs="仿宋_GB2312"/>
                <w:color w:val="000000"/>
                <w:sz w:val="20"/>
                <w:szCs w:val="20"/>
                <w:highlight w:val="none"/>
              </w:rPr>
              <w:t>　</w:t>
            </w:r>
          </w:p>
        </w:tc>
        <w:tc>
          <w:tcPr>
            <w:tcW w:w="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313" w:hRule="atLeast"/>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退役军人及家属的满意度</w:t>
            </w:r>
          </w:p>
        </w:tc>
        <w:tc>
          <w:tcPr>
            <w:tcW w:w="137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95%以上</w:t>
            </w:r>
          </w:p>
        </w:tc>
        <w:tc>
          <w:tcPr>
            <w:tcW w:w="125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96%</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356" w:hRule="atLeast"/>
          <w:jc w:val="center"/>
        </w:trPr>
        <w:tc>
          <w:tcPr>
            <w:tcW w:w="7095" w:type="dxa"/>
            <w:gridSpan w:val="6"/>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53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100</w:t>
            </w:r>
          </w:p>
        </w:tc>
        <w:tc>
          <w:tcPr>
            <w:tcW w:w="80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98</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bl>
    <w:p>
      <w:pPr>
        <w:rPr>
          <w:rFonts w:hint="default" w:ascii="Times New Roman" w:hAnsi="Times New Roman" w:eastAsia="仿宋_GB2312" w:cs="Times New Roman"/>
          <w:sz w:val="18"/>
          <w:szCs w:val="18"/>
          <w:highlight w:val="none"/>
        </w:rPr>
      </w:pPr>
    </w:p>
    <w:p>
      <w:pPr>
        <w:rPr>
          <w:rFonts w:hint="default" w:ascii="Times New Roman" w:hAnsi="Times New Roman" w:eastAsia="仿宋_GB2312" w:cs="Times New Roman"/>
          <w:szCs w:val="21"/>
          <w:highlight w:val="none"/>
        </w:rPr>
      </w:pPr>
      <w:r>
        <w:rPr>
          <w:rFonts w:hint="default" w:ascii="Times New Roman" w:hAnsi="Times New Roman" w:eastAsia="仿宋_GB2312" w:cs="Times New Roman"/>
          <w:sz w:val="18"/>
          <w:szCs w:val="18"/>
          <w:highlight w:val="none"/>
        </w:rPr>
        <w:t>备注：一个一级项目支出一张表。</w:t>
      </w:r>
      <w:r>
        <w:rPr>
          <w:rFonts w:hint="eastAsia" w:ascii="Times New Roman" w:hAnsi="Times New Roman" w:eastAsia="仿宋_GB2312" w:cs="Times New Roman"/>
          <w:sz w:val="18"/>
          <w:szCs w:val="18"/>
          <w:highlight w:val="none"/>
          <w:lang w:eastAsia="zh-CN"/>
        </w:rPr>
        <w:t>如，</w:t>
      </w:r>
      <w:r>
        <w:rPr>
          <w:rFonts w:hint="default" w:ascii="Times New Roman" w:hAnsi="Times New Roman" w:eastAsia="仿宋_GB2312" w:cs="Times New Roman"/>
          <w:sz w:val="18"/>
          <w:szCs w:val="18"/>
          <w:highlight w:val="none"/>
        </w:rPr>
        <w:t>业务工作经费</w:t>
      </w:r>
      <w:r>
        <w:rPr>
          <w:rFonts w:hint="eastAsia" w:ascii="Times New Roman" w:hAnsi="Times New Roman" w:eastAsia="仿宋_GB2312" w:cs="Times New Roman"/>
          <w:sz w:val="18"/>
          <w:szCs w:val="18"/>
          <w:highlight w:val="none"/>
          <w:lang w:eastAsia="zh-CN"/>
        </w:rPr>
        <w:t>，</w:t>
      </w:r>
      <w:r>
        <w:rPr>
          <w:rFonts w:hint="default" w:ascii="Times New Roman" w:hAnsi="Times New Roman" w:eastAsia="仿宋_GB2312" w:cs="Times New Roman"/>
          <w:sz w:val="18"/>
          <w:szCs w:val="18"/>
          <w:highlight w:val="none"/>
        </w:rPr>
        <w:t>运行维护经费</w:t>
      </w:r>
      <w:r>
        <w:rPr>
          <w:rFonts w:hint="eastAsia" w:ascii="Times New Roman" w:hAnsi="Times New Roman" w:eastAsia="仿宋_GB2312" w:cs="Times New Roman"/>
          <w:sz w:val="18"/>
          <w:szCs w:val="18"/>
          <w:highlight w:val="none"/>
          <w:lang w:eastAsia="zh-CN"/>
        </w:rPr>
        <w:t>，其他事业发展类资金…各一张表。</w:t>
      </w:r>
    </w:p>
    <w:p>
      <w:pPr>
        <w:widowControl/>
        <w:spacing w:line="600" w:lineRule="exact"/>
        <w:jc w:val="left"/>
        <w:rPr>
          <w:rFonts w:hint="default" w:ascii="Times New Roman" w:hAnsi="Times New Roman" w:eastAsia="黑体" w:cs="Times New Roman"/>
          <w:sz w:val="32"/>
          <w:szCs w:val="32"/>
          <w:highlight w:val="none"/>
          <w:lang w:val="en-US" w:eastAsia="zh-CN"/>
        </w:rPr>
      </w:pPr>
      <w:r>
        <w:rPr>
          <w:rFonts w:hint="default" w:ascii="Times New Roman" w:hAnsi="Times New Roman" w:eastAsia="仿宋_GB2312" w:cs="Times New Roman"/>
          <w:sz w:val="22"/>
          <w:szCs w:val="22"/>
          <w:highlight w:val="none"/>
        </w:rPr>
        <w:t xml:space="preserve">填表人：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填报日期：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联系电话：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 单位负责人签字：</w:t>
      </w:r>
      <w:r>
        <w:rPr>
          <w:rFonts w:hint="default" w:ascii="Times New Roman" w:hAnsi="Times New Roman" w:eastAsia="仿宋_GB2312" w:cs="Times New Roman"/>
          <w:sz w:val="22"/>
          <w:szCs w:val="22"/>
          <w:highlight w:val="none"/>
        </w:rPr>
        <w:br w:type="page"/>
      </w: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3-2</w:t>
      </w:r>
    </w:p>
    <w:p>
      <w:pPr>
        <w:widowControl/>
        <w:spacing w:line="600" w:lineRule="exact"/>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年度项目支出绩效自评表</w:t>
      </w:r>
    </w:p>
    <w:tbl>
      <w:tblPr>
        <w:tblStyle w:val="5"/>
        <w:tblW w:w="9851" w:type="dxa"/>
        <w:jc w:val="center"/>
        <w:tblLayout w:type="autofit"/>
        <w:tblCellMar>
          <w:top w:w="0" w:type="dxa"/>
          <w:left w:w="108" w:type="dxa"/>
          <w:bottom w:w="0" w:type="dxa"/>
          <w:right w:w="108" w:type="dxa"/>
        </w:tblCellMar>
      </w:tblPr>
      <w:tblGrid>
        <w:gridCol w:w="1080"/>
        <w:gridCol w:w="1080"/>
        <w:gridCol w:w="1080"/>
        <w:gridCol w:w="1224"/>
        <w:gridCol w:w="1217"/>
        <w:gridCol w:w="1168"/>
        <w:gridCol w:w="711"/>
        <w:gridCol w:w="873"/>
        <w:gridCol w:w="1418"/>
      </w:tblGrid>
      <w:tr>
        <w:tblPrEx>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项目支</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出名称</w:t>
            </w:r>
          </w:p>
        </w:tc>
        <w:tc>
          <w:tcPr>
            <w:tcW w:w="8771" w:type="dxa"/>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优抚对象抚恤和生活补助经费</w:t>
            </w:r>
          </w:p>
        </w:tc>
      </w:tr>
      <w:tr>
        <w:tblPrEx>
          <w:tblCellMar>
            <w:top w:w="0" w:type="dxa"/>
            <w:left w:w="108" w:type="dxa"/>
            <w:bottom w:w="0" w:type="dxa"/>
            <w:right w:w="108" w:type="dxa"/>
          </w:tblCellMar>
        </w:tblPrEx>
        <w:trPr>
          <w:trHeight w:val="328" w:hRule="atLeast"/>
          <w:jc w:val="center"/>
        </w:trPr>
        <w:tc>
          <w:tcPr>
            <w:tcW w:w="108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主管部门</w:t>
            </w:r>
          </w:p>
        </w:tc>
        <w:tc>
          <w:tcPr>
            <w:tcW w:w="4601"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sz w:val="20"/>
                <w:szCs w:val="20"/>
                <w:highlight w:val="none"/>
                <w:lang w:eastAsia="zh-CN"/>
              </w:rPr>
              <w:t>岳阳市君山区退役军人事务局</w:t>
            </w:r>
          </w:p>
        </w:tc>
        <w:tc>
          <w:tcPr>
            <w:tcW w:w="1168" w:type="dxa"/>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实施单位</w:t>
            </w:r>
          </w:p>
        </w:tc>
        <w:tc>
          <w:tcPr>
            <w:tcW w:w="3002"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sz w:val="20"/>
                <w:szCs w:val="20"/>
                <w:highlight w:val="none"/>
                <w:lang w:eastAsia="zh-CN"/>
              </w:rPr>
              <w:t>岳阳市君山区退役军人事务局</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项目资金</w:t>
            </w:r>
            <w:r>
              <w:rPr>
                <w:rFonts w:hint="eastAsia" w:ascii="仿宋_GB2312" w:hAnsi="仿宋_GB2312" w:eastAsia="仿宋_GB2312" w:cs="仿宋_GB2312"/>
                <w:color w:val="000000"/>
                <w:sz w:val="20"/>
                <w:szCs w:val="20"/>
                <w:highlight w:val="none"/>
              </w:rPr>
              <w:br w:type="textWrapping"/>
            </w:r>
            <w:r>
              <w:rPr>
                <w:rFonts w:hint="eastAsia" w:ascii="仿宋_GB2312" w:hAnsi="仿宋_GB2312" w:eastAsia="仿宋_GB2312" w:cs="仿宋_GB2312"/>
                <w:color w:val="000000"/>
                <w:sz w:val="20"/>
                <w:szCs w:val="20"/>
                <w:highlight w:val="none"/>
              </w:rPr>
              <w:t>（万元）</w:t>
            </w: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年初</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全年</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执行数</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trHeight w:val="383" w:hRule="atLeast"/>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年度资金总额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160</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160</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160</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w:t>
            </w:r>
          </w:p>
        </w:tc>
      </w:tr>
      <w:tr>
        <w:tblPrEx>
          <w:tblCellMar>
            <w:top w:w="0" w:type="dxa"/>
            <w:left w:w="108" w:type="dxa"/>
            <w:bottom w:w="0" w:type="dxa"/>
            <w:right w:w="108" w:type="dxa"/>
          </w:tblCellMar>
        </w:tblPrEx>
        <w:trPr>
          <w:trHeight w:val="369" w:hRule="atLeast"/>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其中：当年财政拨款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160</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328" w:hRule="atLeast"/>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上年结转资金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356" w:hRule="atLeast"/>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其他资金</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369" w:hRule="atLeast"/>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4601"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4170"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trHeight w:val="573" w:hRule="atLeast"/>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4601"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执行政策，确保</w:t>
            </w:r>
            <w:r>
              <w:rPr>
                <w:rFonts w:hint="eastAsia" w:ascii="仿宋_GB2312" w:hAnsi="仿宋_GB2312" w:eastAsia="仿宋_GB2312" w:cs="仿宋_GB2312"/>
                <w:color w:val="000000"/>
                <w:sz w:val="20"/>
                <w:szCs w:val="20"/>
                <w:highlight w:val="none"/>
              </w:rPr>
              <w:t>优抚对象</w:t>
            </w:r>
            <w:r>
              <w:rPr>
                <w:rFonts w:hint="eastAsia" w:ascii="仿宋_GB2312" w:hAnsi="仿宋_GB2312" w:eastAsia="仿宋_GB2312" w:cs="仿宋_GB2312"/>
                <w:color w:val="000000"/>
                <w:sz w:val="20"/>
                <w:szCs w:val="20"/>
                <w:highlight w:val="none"/>
                <w:lang w:eastAsia="zh-CN"/>
              </w:rPr>
              <w:t>待遇落实。</w:t>
            </w:r>
            <w:r>
              <w:rPr>
                <w:rFonts w:hint="eastAsia" w:ascii="仿宋_GB2312" w:hAnsi="仿宋_GB2312" w:eastAsia="仿宋_GB2312" w:cs="仿宋_GB2312"/>
                <w:color w:val="000000"/>
                <w:sz w:val="20"/>
                <w:szCs w:val="20"/>
                <w:highlight w:val="none"/>
              </w:rPr>
              <w:t>　　</w:t>
            </w:r>
          </w:p>
        </w:tc>
        <w:tc>
          <w:tcPr>
            <w:tcW w:w="4170"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资金拨付到位，</w:t>
            </w:r>
            <w:r>
              <w:rPr>
                <w:rFonts w:hint="eastAsia" w:ascii="仿宋_GB2312" w:hAnsi="仿宋_GB2312" w:eastAsia="仿宋_GB2312" w:cs="仿宋_GB2312"/>
                <w:color w:val="000000"/>
                <w:sz w:val="20"/>
                <w:szCs w:val="20"/>
                <w:highlight w:val="none"/>
              </w:rPr>
              <w:t>优抚对象</w:t>
            </w:r>
            <w:r>
              <w:rPr>
                <w:rFonts w:hint="eastAsia" w:ascii="仿宋_GB2312" w:hAnsi="仿宋_GB2312" w:eastAsia="仿宋_GB2312" w:cs="仿宋_GB2312"/>
                <w:color w:val="000000"/>
                <w:sz w:val="20"/>
                <w:szCs w:val="20"/>
                <w:highlight w:val="none"/>
                <w:lang w:eastAsia="zh-CN"/>
              </w:rPr>
              <w:t>待遇全部落实到位。</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指标值</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完成值</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trHeight w:val="758" w:hRule="atLeast"/>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产出指标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(50分)</w:t>
            </w:r>
          </w:p>
          <w:p>
            <w:pPr>
              <w:pStyle w:val="2"/>
              <w:jc w:val="both"/>
              <w:rPr>
                <w:rFonts w:hint="eastAsia" w:eastAsia="仿宋_GB2312"/>
                <w:lang w:eastAsia="zh-CN"/>
              </w:rPr>
            </w:pPr>
          </w:p>
        </w:tc>
        <w:tc>
          <w:tcPr>
            <w:tcW w:w="1080" w:type="dxa"/>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优抚对象抚恤补助资金发放人数</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lang w:val="en-US" w:eastAsia="zh-CN"/>
              </w:rPr>
              <w:t>1186人</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1186人</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经费足额拨付率</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按规定执行率</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优抚对象抚恤补助资金及时拨付率</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609" w:hRule="atLeast"/>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left w:val="nil"/>
              <w:bottom w:val="single" w:color="000000"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严格执行预算批复金额</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160</w:t>
            </w:r>
            <w:r>
              <w:rPr>
                <w:rFonts w:hint="eastAsia" w:ascii="仿宋_GB2312" w:hAnsi="仿宋_GB2312" w:eastAsia="仿宋_GB2312" w:cs="仿宋_GB2312"/>
                <w:color w:val="000000"/>
                <w:sz w:val="20"/>
                <w:szCs w:val="20"/>
                <w:highlight w:val="none"/>
                <w:lang w:eastAsia="zh-CN"/>
              </w:rPr>
              <w:t>万元</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160</w:t>
            </w:r>
            <w:r>
              <w:rPr>
                <w:rFonts w:hint="eastAsia" w:ascii="仿宋_GB2312" w:hAnsi="仿宋_GB2312" w:eastAsia="仿宋_GB2312" w:cs="仿宋_GB2312"/>
                <w:color w:val="000000"/>
                <w:sz w:val="20"/>
                <w:szCs w:val="20"/>
                <w:highlight w:val="none"/>
                <w:lang w:eastAsia="zh-CN"/>
              </w:rPr>
              <w:t>万元</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trHeight w:val="635" w:hRule="atLeast"/>
          <w:jc w:val="center"/>
        </w:trPr>
        <w:tc>
          <w:tcPr>
            <w:tcW w:w="1080" w:type="dxa"/>
            <w:vMerge w:val="continue"/>
            <w:tcBorders>
              <w:left w:val="single" w:color="auto"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000000" w:sz="4" w:space="0"/>
              <w:left w:val="single" w:color="000000" w:sz="4" w:space="0"/>
              <w:bottom w:val="nil"/>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p>
        </w:tc>
        <w:tc>
          <w:tcPr>
            <w:tcW w:w="1080" w:type="dxa"/>
            <w:tcBorders>
              <w:top w:val="single" w:color="auto" w:sz="4" w:space="0"/>
              <w:left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益指标</w:t>
            </w:r>
          </w:p>
        </w:tc>
        <w:tc>
          <w:tcPr>
            <w:tcW w:w="122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优抚对象就业率</w:t>
            </w:r>
          </w:p>
        </w:tc>
        <w:tc>
          <w:tcPr>
            <w:tcW w:w="121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90%</w:t>
            </w:r>
          </w:p>
        </w:tc>
        <w:tc>
          <w:tcPr>
            <w:tcW w:w="11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95%</w:t>
            </w:r>
          </w:p>
        </w:tc>
        <w:tc>
          <w:tcPr>
            <w:tcW w:w="71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r>
      <w:tr>
        <w:tblPrEx>
          <w:tblCellMar>
            <w:top w:w="0" w:type="dxa"/>
            <w:left w:w="108" w:type="dxa"/>
            <w:bottom w:w="0" w:type="dxa"/>
            <w:right w:w="108" w:type="dxa"/>
          </w:tblCellMar>
        </w:tblPrEx>
        <w:trPr>
          <w:trHeight w:val="592" w:hRule="atLeast"/>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nil"/>
              <w:left w:val="nil"/>
              <w:bottom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（30分）</w:t>
            </w:r>
          </w:p>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军民融合</w:t>
            </w:r>
          </w:p>
        </w:tc>
        <w:tc>
          <w:tcPr>
            <w:tcW w:w="1217"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效果</w:t>
            </w:r>
            <w:r>
              <w:rPr>
                <w:rFonts w:hint="eastAsia" w:ascii="仿宋_GB2312" w:hAnsi="仿宋_GB2312" w:eastAsia="仿宋_GB2312" w:cs="仿宋_GB2312"/>
                <w:color w:val="000000"/>
                <w:sz w:val="20"/>
                <w:szCs w:val="20"/>
                <w:highlight w:val="none"/>
                <w:lang w:eastAsia="zh-CN"/>
              </w:rPr>
              <w:t>明显</w:t>
            </w:r>
          </w:p>
        </w:tc>
        <w:tc>
          <w:tcPr>
            <w:tcW w:w="116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效果明显</w:t>
            </w:r>
          </w:p>
        </w:tc>
        <w:tc>
          <w:tcPr>
            <w:tcW w:w="711"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8</w:t>
            </w:r>
          </w:p>
        </w:tc>
        <w:tc>
          <w:tcPr>
            <w:tcW w:w="141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nil"/>
              <w:left w:val="nil"/>
              <w:bottom w:val="nil"/>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维护社会稳定，营造了崇尚军人的良好社会氛围</w:t>
            </w:r>
          </w:p>
        </w:tc>
        <w:tc>
          <w:tcPr>
            <w:tcW w:w="12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效果明显</w:t>
            </w:r>
          </w:p>
        </w:tc>
        <w:tc>
          <w:tcPr>
            <w:tcW w:w="116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效果明显</w:t>
            </w:r>
          </w:p>
        </w:tc>
        <w:tc>
          <w:tcPr>
            <w:tcW w:w="7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nil"/>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1080" w:type="dxa"/>
            <w:tcBorders>
              <w:top w:val="single" w:color="auto" w:sz="4" w:space="0"/>
              <w:left w:val="nil"/>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现（退）役军人及家属的满意度</w:t>
            </w:r>
          </w:p>
        </w:tc>
        <w:tc>
          <w:tcPr>
            <w:tcW w:w="121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rPr>
              <w:t>　</w:t>
            </w:r>
            <w:r>
              <w:rPr>
                <w:rFonts w:hint="eastAsia" w:ascii="宋体" w:hAnsi="宋体" w:eastAsia="宋体" w:cs="宋体"/>
                <w:color w:val="000000"/>
                <w:sz w:val="20"/>
                <w:szCs w:val="20"/>
                <w:highlight w:val="none"/>
                <w:lang w:eastAsia="zh-CN"/>
              </w:rPr>
              <w:t>≧</w:t>
            </w:r>
            <w:r>
              <w:rPr>
                <w:rFonts w:hint="eastAsia" w:ascii="宋体" w:hAnsi="宋体" w:cs="宋体"/>
                <w:color w:val="000000"/>
                <w:sz w:val="20"/>
                <w:szCs w:val="20"/>
                <w:highlight w:val="none"/>
                <w:lang w:val="en-US" w:eastAsia="zh-CN"/>
              </w:rPr>
              <w:t>98%</w:t>
            </w:r>
          </w:p>
        </w:tc>
        <w:tc>
          <w:tcPr>
            <w:tcW w:w="116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99%</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475" w:hRule="atLeast"/>
          <w:jc w:val="center"/>
        </w:trPr>
        <w:tc>
          <w:tcPr>
            <w:tcW w:w="6849" w:type="dxa"/>
            <w:gridSpan w:val="6"/>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7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98</w:t>
            </w:r>
          </w:p>
        </w:tc>
        <w:tc>
          <w:tcPr>
            <w:tcW w:w="1418"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bl>
    <w:p>
      <w:pPr>
        <w:rPr>
          <w:rFonts w:hint="default" w:ascii="Times New Roman" w:hAnsi="Times New Roman" w:eastAsia="仿宋_GB2312" w:cs="Times New Roman"/>
          <w:sz w:val="18"/>
          <w:szCs w:val="18"/>
          <w:highlight w:val="none"/>
        </w:rPr>
      </w:pPr>
    </w:p>
    <w:p>
      <w:pPr>
        <w:rPr>
          <w:rFonts w:hint="default" w:ascii="Times New Roman" w:hAnsi="Times New Roman" w:eastAsia="仿宋_GB2312" w:cs="Times New Roman"/>
          <w:szCs w:val="21"/>
          <w:highlight w:val="none"/>
        </w:rPr>
      </w:pPr>
      <w:r>
        <w:rPr>
          <w:rFonts w:hint="default" w:ascii="Times New Roman" w:hAnsi="Times New Roman" w:eastAsia="仿宋_GB2312" w:cs="Times New Roman"/>
          <w:sz w:val="18"/>
          <w:szCs w:val="18"/>
          <w:highlight w:val="none"/>
        </w:rPr>
        <w:t>备注：一个一级项目支出一张表。</w:t>
      </w:r>
      <w:r>
        <w:rPr>
          <w:rFonts w:hint="eastAsia" w:ascii="Times New Roman" w:hAnsi="Times New Roman" w:eastAsia="仿宋_GB2312" w:cs="Times New Roman"/>
          <w:sz w:val="18"/>
          <w:szCs w:val="18"/>
          <w:highlight w:val="none"/>
          <w:lang w:eastAsia="zh-CN"/>
        </w:rPr>
        <w:t>如，</w:t>
      </w:r>
      <w:r>
        <w:rPr>
          <w:rFonts w:hint="default" w:ascii="Times New Roman" w:hAnsi="Times New Roman" w:eastAsia="仿宋_GB2312" w:cs="Times New Roman"/>
          <w:sz w:val="18"/>
          <w:szCs w:val="18"/>
          <w:highlight w:val="none"/>
        </w:rPr>
        <w:t>业务工作经费</w:t>
      </w:r>
      <w:r>
        <w:rPr>
          <w:rFonts w:hint="eastAsia" w:ascii="Times New Roman" w:hAnsi="Times New Roman" w:eastAsia="仿宋_GB2312" w:cs="Times New Roman"/>
          <w:sz w:val="18"/>
          <w:szCs w:val="18"/>
          <w:highlight w:val="none"/>
          <w:lang w:eastAsia="zh-CN"/>
        </w:rPr>
        <w:t>，</w:t>
      </w:r>
      <w:r>
        <w:rPr>
          <w:rFonts w:hint="default" w:ascii="Times New Roman" w:hAnsi="Times New Roman" w:eastAsia="仿宋_GB2312" w:cs="Times New Roman"/>
          <w:sz w:val="18"/>
          <w:szCs w:val="18"/>
          <w:highlight w:val="none"/>
        </w:rPr>
        <w:t>运行维护经费</w:t>
      </w:r>
      <w:r>
        <w:rPr>
          <w:rFonts w:hint="eastAsia" w:ascii="Times New Roman" w:hAnsi="Times New Roman" w:eastAsia="仿宋_GB2312" w:cs="Times New Roman"/>
          <w:sz w:val="18"/>
          <w:szCs w:val="18"/>
          <w:highlight w:val="none"/>
          <w:lang w:eastAsia="zh-CN"/>
        </w:rPr>
        <w:t>，其他事业发展类资金…各一张表。</w:t>
      </w:r>
    </w:p>
    <w:p>
      <w:pPr>
        <w:widowControl/>
        <w:spacing w:line="600" w:lineRule="exact"/>
        <w:jc w:val="left"/>
        <w:rPr>
          <w:rFonts w:hint="eastAsia" w:ascii="Times New Roman" w:hAnsi="Times New Roman" w:eastAsia="仿宋_GB2312" w:cs="Times New Roman"/>
          <w:sz w:val="22"/>
          <w:szCs w:val="22"/>
          <w:highlight w:val="none"/>
          <w:lang w:eastAsia="zh-CN"/>
        </w:rPr>
      </w:pPr>
      <w:r>
        <w:rPr>
          <w:rFonts w:hint="default" w:ascii="Times New Roman" w:hAnsi="Times New Roman" w:eastAsia="仿宋_GB2312" w:cs="Times New Roman"/>
          <w:sz w:val="22"/>
          <w:szCs w:val="22"/>
          <w:highlight w:val="none"/>
        </w:rPr>
        <w:t xml:space="preserve">填表人：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填报日期：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联系电话：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 单位负责人签</w:t>
      </w:r>
      <w:r>
        <w:rPr>
          <w:rFonts w:hint="eastAsia" w:ascii="Times New Roman" w:hAnsi="Times New Roman" w:eastAsia="仿宋_GB2312" w:cs="Times New Roman"/>
          <w:sz w:val="22"/>
          <w:szCs w:val="22"/>
          <w:highlight w:val="none"/>
          <w:lang w:eastAsia="zh-CN"/>
        </w:rPr>
        <w:t>：</w:t>
      </w:r>
      <w:bookmarkStart w:id="0" w:name="_GoBack"/>
      <w:bookmarkEnd w:id="0"/>
    </w:p>
    <w:p>
      <w:pPr>
        <w:widowControl/>
        <w:spacing w:line="600" w:lineRule="exact"/>
        <w:jc w:val="left"/>
        <w:rPr>
          <w:rFonts w:hint="default" w:ascii="Times New Roman" w:hAnsi="Times New Roman" w:eastAsia="黑体" w:cs="Times New Roman"/>
          <w:sz w:val="32"/>
          <w:szCs w:val="32"/>
          <w:highlight w:val="none"/>
          <w:lang w:val="en-US"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3-3</w:t>
      </w:r>
    </w:p>
    <w:p>
      <w:pPr>
        <w:widowControl/>
        <w:spacing w:line="600" w:lineRule="exact"/>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年度项目支出绩效自评表</w:t>
      </w:r>
    </w:p>
    <w:tbl>
      <w:tblPr>
        <w:tblStyle w:val="5"/>
        <w:tblW w:w="9956" w:type="dxa"/>
        <w:jc w:val="center"/>
        <w:tblLayout w:type="autofit"/>
        <w:tblCellMar>
          <w:top w:w="0" w:type="dxa"/>
          <w:left w:w="108" w:type="dxa"/>
          <w:bottom w:w="0" w:type="dxa"/>
          <w:right w:w="108" w:type="dxa"/>
        </w:tblCellMar>
      </w:tblPr>
      <w:tblGrid>
        <w:gridCol w:w="1080"/>
        <w:gridCol w:w="1080"/>
        <w:gridCol w:w="1080"/>
        <w:gridCol w:w="1224"/>
        <w:gridCol w:w="1367"/>
        <w:gridCol w:w="1157"/>
        <w:gridCol w:w="572"/>
        <w:gridCol w:w="873"/>
        <w:gridCol w:w="1523"/>
      </w:tblGrid>
      <w:tr>
        <w:tblPrEx>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项目支</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出名称</w:t>
            </w:r>
          </w:p>
        </w:tc>
        <w:tc>
          <w:tcPr>
            <w:tcW w:w="8876" w:type="dxa"/>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义务兵优待金　</w:t>
            </w:r>
          </w:p>
        </w:tc>
      </w:tr>
      <w:tr>
        <w:tblPrEx>
          <w:tblCellMar>
            <w:top w:w="0" w:type="dxa"/>
            <w:left w:w="108" w:type="dxa"/>
            <w:bottom w:w="0" w:type="dxa"/>
            <w:right w:w="108" w:type="dxa"/>
          </w:tblCellMar>
        </w:tblPrEx>
        <w:trPr>
          <w:jc w:val="center"/>
        </w:trPr>
        <w:tc>
          <w:tcPr>
            <w:tcW w:w="108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主管部门</w:t>
            </w:r>
          </w:p>
        </w:tc>
        <w:tc>
          <w:tcPr>
            <w:tcW w:w="4751"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sz w:val="20"/>
                <w:szCs w:val="20"/>
                <w:highlight w:val="none"/>
                <w:lang w:eastAsia="zh-CN"/>
              </w:rPr>
              <w:t>岳阳市君山区退役军人事务局</w:t>
            </w:r>
          </w:p>
        </w:tc>
        <w:tc>
          <w:tcPr>
            <w:tcW w:w="1157" w:type="dxa"/>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实施单位</w:t>
            </w:r>
          </w:p>
        </w:tc>
        <w:tc>
          <w:tcPr>
            <w:tcW w:w="2968"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sz w:val="20"/>
                <w:szCs w:val="20"/>
                <w:highlight w:val="none"/>
                <w:lang w:eastAsia="zh-CN"/>
              </w:rPr>
              <w:t>岳阳市君山区退役军人事务局</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项目资金</w:t>
            </w:r>
            <w:r>
              <w:rPr>
                <w:rFonts w:hint="eastAsia" w:ascii="仿宋_GB2312" w:hAnsi="仿宋_GB2312" w:eastAsia="仿宋_GB2312" w:cs="仿宋_GB2312"/>
                <w:color w:val="000000"/>
                <w:sz w:val="20"/>
                <w:szCs w:val="20"/>
                <w:highlight w:val="none"/>
              </w:rPr>
              <w:br w:type="textWrapping"/>
            </w:r>
            <w:r>
              <w:rPr>
                <w:rFonts w:hint="eastAsia" w:ascii="仿宋_GB2312" w:hAnsi="仿宋_GB2312" w:eastAsia="仿宋_GB2312" w:cs="仿宋_GB2312"/>
                <w:color w:val="000000"/>
                <w:sz w:val="20"/>
                <w:szCs w:val="20"/>
                <w:highlight w:val="none"/>
              </w:rPr>
              <w:t>（万元）</w:t>
            </w: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年初</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全年</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执行数</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年度资金总额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165.6</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165.6</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165.6</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100%</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其中：当年财政拨款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165.6</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165.6</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165.6</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上年结转资金　</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160"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其他资金</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4751"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4125"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trHeight w:val="683" w:hRule="atLeast"/>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4751"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严格执行政策，确保义务兵优待金及时足额发放</w:t>
            </w:r>
            <w:r>
              <w:rPr>
                <w:rFonts w:hint="eastAsia" w:ascii="仿宋_GB2312" w:hAnsi="仿宋_GB2312" w:eastAsia="仿宋_GB2312" w:cs="仿宋_GB2312"/>
                <w:color w:val="000000"/>
                <w:sz w:val="20"/>
                <w:szCs w:val="20"/>
                <w:highlight w:val="none"/>
              </w:rPr>
              <w:t>　　</w:t>
            </w:r>
          </w:p>
        </w:tc>
        <w:tc>
          <w:tcPr>
            <w:tcW w:w="4125"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资金拨付到位，义务兵优待金已及时足额发放</w:t>
            </w: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指标值</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完成值</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产出指标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(50分)</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发放</w:t>
            </w:r>
            <w:r>
              <w:rPr>
                <w:rFonts w:hint="eastAsia" w:ascii="仿宋_GB2312" w:hAnsi="仿宋_GB2312" w:eastAsia="仿宋_GB2312" w:cs="仿宋_GB2312"/>
                <w:color w:val="000000"/>
                <w:sz w:val="20"/>
                <w:szCs w:val="20"/>
                <w:highlight w:val="none"/>
              </w:rPr>
              <w:t>义务兵优待金人数　</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在册人数</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在册人数</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20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20</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发放金额</w:t>
            </w:r>
            <w:r>
              <w:rPr>
                <w:rFonts w:hint="eastAsia" w:ascii="仿宋_GB2312" w:hAnsi="仿宋_GB2312" w:eastAsia="仿宋_GB2312" w:cs="仿宋_GB2312"/>
                <w:color w:val="000000"/>
                <w:sz w:val="20"/>
                <w:szCs w:val="20"/>
                <w:highlight w:val="none"/>
              </w:rPr>
              <w:t>按标准拨付</w:t>
            </w:r>
            <w:r>
              <w:rPr>
                <w:rFonts w:hint="eastAsia" w:ascii="仿宋_GB2312" w:hAnsi="仿宋_GB2312" w:eastAsia="仿宋_GB2312" w:cs="仿宋_GB2312"/>
                <w:color w:val="000000"/>
                <w:sz w:val="20"/>
                <w:szCs w:val="20"/>
                <w:highlight w:val="none"/>
                <w:lang w:eastAsia="zh-CN"/>
              </w:rPr>
              <w:t>率</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502" w:hRule="atLeast"/>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支付</w:t>
            </w:r>
            <w:r>
              <w:rPr>
                <w:rFonts w:hint="eastAsia" w:ascii="仿宋_GB2312" w:hAnsi="仿宋_GB2312" w:eastAsia="仿宋_GB2312" w:cs="仿宋_GB2312"/>
                <w:color w:val="000000"/>
                <w:sz w:val="20"/>
                <w:szCs w:val="20"/>
                <w:highlight w:val="none"/>
                <w:lang w:eastAsia="zh-CN"/>
              </w:rPr>
              <w:t>及时率</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参照预算批复金额，按标准支付</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lang w:eastAsia="zh-CN"/>
              </w:rPr>
            </w:pPr>
            <w:r>
              <w:rPr>
                <w:rFonts w:hint="eastAsia" w:ascii="宋体" w:hAnsi="宋体" w:eastAsia="宋体" w:cs="宋体"/>
                <w:color w:val="000000"/>
                <w:sz w:val="20"/>
                <w:szCs w:val="20"/>
                <w:highlight w:val="none"/>
              </w:rPr>
              <w:t>≦</w:t>
            </w:r>
            <w:r>
              <w:rPr>
                <w:rFonts w:hint="eastAsia" w:ascii="仿宋_GB2312" w:hAnsi="仿宋_GB2312" w:eastAsia="仿宋_GB2312" w:cs="仿宋_GB2312"/>
                <w:color w:val="000000"/>
                <w:sz w:val="20"/>
                <w:szCs w:val="20"/>
                <w:highlight w:val="none"/>
              </w:rPr>
              <w:t>165.6</w:t>
            </w:r>
            <w:r>
              <w:rPr>
                <w:rFonts w:hint="eastAsia" w:ascii="仿宋_GB2312" w:hAnsi="仿宋_GB2312" w:eastAsia="仿宋_GB2312" w:cs="仿宋_GB2312"/>
                <w:color w:val="000000"/>
                <w:sz w:val="20"/>
                <w:szCs w:val="20"/>
                <w:highlight w:val="none"/>
                <w:lang w:eastAsia="zh-CN"/>
              </w:rPr>
              <w:t>万元</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153.6</w:t>
            </w:r>
            <w:r>
              <w:rPr>
                <w:rFonts w:hint="eastAsia" w:ascii="仿宋_GB2312" w:hAnsi="仿宋_GB2312" w:eastAsia="仿宋_GB2312" w:cs="仿宋_GB2312"/>
                <w:color w:val="000000"/>
                <w:sz w:val="20"/>
                <w:szCs w:val="20"/>
                <w:highlight w:val="none"/>
                <w:lang w:eastAsia="zh-CN"/>
              </w:rPr>
              <w:t>万元</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（30分）</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义务兵</w:t>
            </w:r>
            <w:r>
              <w:rPr>
                <w:rFonts w:hint="eastAsia" w:ascii="仿宋_GB2312" w:hAnsi="仿宋_GB2312" w:eastAsia="仿宋_GB2312" w:cs="仿宋_GB2312"/>
                <w:color w:val="000000"/>
                <w:sz w:val="20"/>
                <w:szCs w:val="20"/>
                <w:highlight w:val="none"/>
                <w:lang w:val="en-US" w:eastAsia="zh-CN"/>
              </w:rPr>
              <w:t>就业率</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90%</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95%</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让军人安心服役，家属努力工作，共同营造和谐稳定的社会</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效果明显</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效果明显</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w:t>
            </w:r>
            <w:r>
              <w:rPr>
                <w:rFonts w:hint="eastAsia" w:ascii="仿宋_GB2312" w:hAnsi="仿宋_GB2312" w:eastAsia="仿宋_GB2312" w:cs="仿宋_GB2312"/>
                <w:color w:val="000000"/>
                <w:sz w:val="20"/>
                <w:szCs w:val="20"/>
                <w:highlight w:val="none"/>
              </w:rPr>
              <w:t>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w:t>
            </w:r>
            <w:r>
              <w:rPr>
                <w:rFonts w:hint="eastAsia" w:ascii="仿宋_GB2312" w:hAnsi="仿宋_GB2312" w:eastAsia="仿宋_GB2312" w:cs="仿宋_GB2312"/>
                <w:color w:val="000000"/>
                <w:sz w:val="20"/>
                <w:szCs w:val="20"/>
                <w:highlight w:val="none"/>
              </w:rPr>
              <w:t>0</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721" w:hRule="atLeast"/>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生态效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引导就业对象促进生态</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eastAsia="zh-CN"/>
              </w:rPr>
              <w:t>效果明显</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eastAsia="zh-CN"/>
              </w:rPr>
              <w:t>效果明显</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4</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22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营造了崇尚军人的良好社会氛围</w:t>
            </w:r>
          </w:p>
        </w:tc>
        <w:tc>
          <w:tcPr>
            <w:tcW w:w="13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eastAsia="zh-CN"/>
              </w:rPr>
              <w:t>效果明显</w:t>
            </w:r>
          </w:p>
        </w:tc>
        <w:tc>
          <w:tcPr>
            <w:tcW w:w="115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eastAsia="zh-CN"/>
              </w:rPr>
              <w:t>效果明显</w:t>
            </w:r>
          </w:p>
        </w:tc>
        <w:tc>
          <w:tcPr>
            <w:tcW w:w="5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8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52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22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现役军人及家属的满意度</w:t>
            </w:r>
          </w:p>
        </w:tc>
        <w:tc>
          <w:tcPr>
            <w:tcW w:w="136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宋体" w:hAnsi="宋体" w:eastAsia="宋体" w:cs="宋体"/>
                <w:color w:val="000000"/>
                <w:sz w:val="20"/>
                <w:szCs w:val="20"/>
                <w:highlight w:val="none"/>
                <w:lang w:eastAsia="zh-CN"/>
              </w:rPr>
              <w:t>≧</w:t>
            </w:r>
            <w:r>
              <w:rPr>
                <w:rFonts w:hint="eastAsia" w:ascii="宋体" w:hAnsi="宋体" w:cs="宋体"/>
                <w:color w:val="000000"/>
                <w:sz w:val="20"/>
                <w:szCs w:val="20"/>
                <w:highlight w:val="none"/>
                <w:lang w:val="en-US" w:eastAsia="zh-CN"/>
              </w:rPr>
              <w:t>98%</w:t>
            </w:r>
          </w:p>
        </w:tc>
        <w:tc>
          <w:tcPr>
            <w:tcW w:w="1157"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98%</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r>
              <w:rPr>
                <w:rFonts w:hint="eastAsia" w:ascii="仿宋_GB2312" w:hAnsi="仿宋_GB2312" w:eastAsia="仿宋_GB2312" w:cs="仿宋_GB2312"/>
                <w:color w:val="000000"/>
                <w:sz w:val="20"/>
                <w:szCs w:val="20"/>
                <w:highlight w:val="none"/>
              </w:rPr>
              <w:t>　</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trHeight w:val="444" w:hRule="atLeast"/>
          <w:jc w:val="center"/>
        </w:trPr>
        <w:tc>
          <w:tcPr>
            <w:tcW w:w="6988" w:type="dxa"/>
            <w:gridSpan w:val="6"/>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100</w:t>
            </w:r>
          </w:p>
        </w:tc>
        <w:tc>
          <w:tcPr>
            <w:tcW w:w="87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99</w:t>
            </w:r>
          </w:p>
        </w:tc>
        <w:tc>
          <w:tcPr>
            <w:tcW w:w="152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bl>
    <w:p>
      <w:pPr>
        <w:rPr>
          <w:rFonts w:hint="default" w:ascii="Times New Roman" w:hAnsi="Times New Roman" w:eastAsia="仿宋_GB2312" w:cs="Times New Roman"/>
          <w:sz w:val="18"/>
          <w:szCs w:val="18"/>
          <w:highlight w:val="none"/>
        </w:rPr>
      </w:pPr>
    </w:p>
    <w:p>
      <w:pPr>
        <w:rPr>
          <w:rFonts w:hint="default" w:ascii="Times New Roman" w:hAnsi="Times New Roman" w:eastAsia="仿宋_GB2312" w:cs="Times New Roman"/>
          <w:szCs w:val="21"/>
          <w:highlight w:val="none"/>
        </w:rPr>
      </w:pPr>
      <w:r>
        <w:rPr>
          <w:rFonts w:hint="default" w:ascii="Times New Roman" w:hAnsi="Times New Roman" w:eastAsia="仿宋_GB2312" w:cs="Times New Roman"/>
          <w:sz w:val="18"/>
          <w:szCs w:val="18"/>
          <w:highlight w:val="none"/>
        </w:rPr>
        <w:t>备注：一个一级项目支出一张表。</w:t>
      </w:r>
      <w:r>
        <w:rPr>
          <w:rFonts w:hint="eastAsia" w:ascii="Times New Roman" w:hAnsi="Times New Roman" w:eastAsia="仿宋_GB2312" w:cs="Times New Roman"/>
          <w:sz w:val="18"/>
          <w:szCs w:val="18"/>
          <w:highlight w:val="none"/>
          <w:lang w:eastAsia="zh-CN"/>
        </w:rPr>
        <w:t>如，</w:t>
      </w:r>
      <w:r>
        <w:rPr>
          <w:rFonts w:hint="default" w:ascii="Times New Roman" w:hAnsi="Times New Roman" w:eastAsia="仿宋_GB2312" w:cs="Times New Roman"/>
          <w:sz w:val="18"/>
          <w:szCs w:val="18"/>
          <w:highlight w:val="none"/>
        </w:rPr>
        <w:t>业务工作经费</w:t>
      </w:r>
      <w:r>
        <w:rPr>
          <w:rFonts w:hint="eastAsia" w:ascii="Times New Roman" w:hAnsi="Times New Roman" w:eastAsia="仿宋_GB2312" w:cs="Times New Roman"/>
          <w:sz w:val="18"/>
          <w:szCs w:val="18"/>
          <w:highlight w:val="none"/>
          <w:lang w:eastAsia="zh-CN"/>
        </w:rPr>
        <w:t>，</w:t>
      </w:r>
      <w:r>
        <w:rPr>
          <w:rFonts w:hint="default" w:ascii="Times New Roman" w:hAnsi="Times New Roman" w:eastAsia="仿宋_GB2312" w:cs="Times New Roman"/>
          <w:sz w:val="18"/>
          <w:szCs w:val="18"/>
          <w:highlight w:val="none"/>
        </w:rPr>
        <w:t>运行维护经费</w:t>
      </w:r>
      <w:r>
        <w:rPr>
          <w:rFonts w:hint="eastAsia" w:ascii="Times New Roman" w:hAnsi="Times New Roman" w:eastAsia="仿宋_GB2312" w:cs="Times New Roman"/>
          <w:sz w:val="18"/>
          <w:szCs w:val="18"/>
          <w:highlight w:val="none"/>
          <w:lang w:eastAsia="zh-CN"/>
        </w:rPr>
        <w:t>，其他事业发展类资金…各一张表。</w:t>
      </w:r>
    </w:p>
    <w:p>
      <w:pPr>
        <w:rPr>
          <w:rFonts w:hint="default" w:ascii="Times New Roman" w:hAnsi="Times New Roman" w:eastAsia="仿宋_GB2312" w:cs="Times New Roman"/>
          <w:sz w:val="22"/>
          <w:szCs w:val="22"/>
          <w:highlight w:val="none"/>
        </w:rPr>
      </w:pPr>
      <w:r>
        <w:rPr>
          <w:rFonts w:hint="default" w:ascii="Times New Roman" w:hAnsi="Times New Roman" w:eastAsia="仿宋_GB2312" w:cs="Times New Roman"/>
          <w:sz w:val="22"/>
          <w:szCs w:val="22"/>
          <w:highlight w:val="none"/>
        </w:rPr>
        <w:t xml:space="preserve">填表人：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填报日期：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联系电话：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 单位负责人签字：</w:t>
      </w:r>
    </w:p>
    <w:p>
      <w:pPr>
        <w:widowControl/>
        <w:spacing w:line="600" w:lineRule="exact"/>
        <w:jc w:val="left"/>
        <w:rPr>
          <w:rFonts w:hint="eastAsia" w:ascii="黑体" w:hAnsi="黑体" w:eastAsia="黑体" w:cs="黑体"/>
          <w:sz w:val="32"/>
          <w:szCs w:val="32"/>
          <w:highlight w:val="none"/>
        </w:rPr>
      </w:pPr>
    </w:p>
    <w:p>
      <w:pPr>
        <w:widowControl/>
        <w:spacing w:line="600" w:lineRule="exact"/>
        <w:jc w:val="left"/>
        <w:rPr>
          <w:rFonts w:hint="default" w:ascii="Times New Roman" w:hAnsi="Times New Roman" w:eastAsia="黑体" w:cs="Times New Roman"/>
          <w:sz w:val="32"/>
          <w:szCs w:val="32"/>
          <w:highlight w:val="none"/>
          <w:lang w:val="en-US" w:eastAsia="zh-CN"/>
        </w:rPr>
      </w:pPr>
      <w:r>
        <w:rPr>
          <w:rFonts w:hint="eastAsia" w:ascii="黑体" w:hAnsi="黑体" w:eastAsia="黑体" w:cs="黑体"/>
          <w:sz w:val="32"/>
          <w:szCs w:val="32"/>
          <w:highlight w:val="none"/>
        </w:rPr>
        <w:t>附件</w:t>
      </w:r>
      <w:r>
        <w:rPr>
          <w:rFonts w:hint="eastAsia" w:ascii="黑体" w:hAnsi="黑体" w:eastAsia="黑体" w:cs="黑体"/>
          <w:sz w:val="32"/>
          <w:szCs w:val="32"/>
          <w:highlight w:val="none"/>
          <w:lang w:val="en-US" w:eastAsia="zh-CN"/>
        </w:rPr>
        <w:t>3-4</w:t>
      </w:r>
    </w:p>
    <w:p>
      <w:pPr>
        <w:widowControl/>
        <w:spacing w:line="600" w:lineRule="exact"/>
        <w:jc w:val="center"/>
        <w:rPr>
          <w:rFonts w:hint="eastAsia" w:ascii="方正小标宋简体" w:hAnsi="方正小标宋简体" w:eastAsia="方正小标宋简体" w:cs="方正小标宋简体"/>
          <w:color w:val="000000"/>
          <w:sz w:val="36"/>
          <w:szCs w:val="36"/>
          <w:highlight w:val="none"/>
        </w:rPr>
      </w:pPr>
      <w:r>
        <w:rPr>
          <w:rFonts w:hint="eastAsia" w:ascii="方正小标宋简体" w:hAnsi="方正小标宋简体" w:eastAsia="方正小标宋简体" w:cs="方正小标宋简体"/>
          <w:color w:val="000000"/>
          <w:sz w:val="36"/>
          <w:szCs w:val="36"/>
          <w:highlight w:val="none"/>
        </w:rPr>
        <w:t>202</w:t>
      </w:r>
      <w:r>
        <w:rPr>
          <w:rFonts w:hint="eastAsia" w:ascii="方正小标宋简体" w:hAnsi="方正小标宋简体" w:eastAsia="方正小标宋简体" w:cs="方正小标宋简体"/>
          <w:color w:val="000000"/>
          <w:sz w:val="36"/>
          <w:szCs w:val="36"/>
          <w:highlight w:val="none"/>
          <w:lang w:val="en-US" w:eastAsia="zh-CN"/>
        </w:rPr>
        <w:t>3</w:t>
      </w:r>
      <w:r>
        <w:rPr>
          <w:rFonts w:hint="eastAsia" w:ascii="方正小标宋简体" w:hAnsi="方正小标宋简体" w:eastAsia="方正小标宋简体" w:cs="方正小标宋简体"/>
          <w:color w:val="000000"/>
          <w:sz w:val="36"/>
          <w:szCs w:val="36"/>
          <w:highlight w:val="none"/>
        </w:rPr>
        <w:t>年度项目支出绩效自评表</w:t>
      </w:r>
    </w:p>
    <w:tbl>
      <w:tblPr>
        <w:tblStyle w:val="5"/>
        <w:tblW w:w="9956" w:type="dxa"/>
        <w:jc w:val="center"/>
        <w:tblLayout w:type="fixed"/>
        <w:tblCellMar>
          <w:top w:w="0" w:type="dxa"/>
          <w:left w:w="108" w:type="dxa"/>
          <w:bottom w:w="0" w:type="dxa"/>
          <w:right w:w="108" w:type="dxa"/>
        </w:tblCellMar>
      </w:tblPr>
      <w:tblGrid>
        <w:gridCol w:w="1080"/>
        <w:gridCol w:w="1080"/>
        <w:gridCol w:w="1239"/>
        <w:gridCol w:w="1572"/>
        <w:gridCol w:w="1074"/>
        <w:gridCol w:w="1093"/>
        <w:gridCol w:w="641"/>
        <w:gridCol w:w="911"/>
        <w:gridCol w:w="1266"/>
      </w:tblGrid>
      <w:tr>
        <w:tblPrEx>
          <w:tblCellMar>
            <w:top w:w="0" w:type="dxa"/>
            <w:left w:w="108" w:type="dxa"/>
            <w:bottom w:w="0" w:type="dxa"/>
            <w:right w:w="108" w:type="dxa"/>
          </w:tblCellMar>
        </w:tblPrEx>
        <w:trPr>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项目支</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出名称</w:t>
            </w:r>
          </w:p>
        </w:tc>
        <w:tc>
          <w:tcPr>
            <w:tcW w:w="8876" w:type="dxa"/>
            <w:gridSpan w:val="8"/>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退役军人专项</w:t>
            </w:r>
          </w:p>
        </w:tc>
      </w:tr>
      <w:tr>
        <w:tblPrEx>
          <w:tblCellMar>
            <w:top w:w="0" w:type="dxa"/>
            <w:left w:w="108" w:type="dxa"/>
            <w:bottom w:w="0" w:type="dxa"/>
            <w:right w:w="108" w:type="dxa"/>
          </w:tblCellMar>
        </w:tblPrEx>
        <w:trPr>
          <w:jc w:val="center"/>
        </w:trPr>
        <w:tc>
          <w:tcPr>
            <w:tcW w:w="1080" w:type="dxa"/>
            <w:tcBorders>
              <w:top w:val="nil"/>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主管部门</w:t>
            </w:r>
          </w:p>
        </w:tc>
        <w:tc>
          <w:tcPr>
            <w:tcW w:w="4965"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sz w:val="20"/>
                <w:szCs w:val="20"/>
                <w:highlight w:val="none"/>
                <w:lang w:eastAsia="zh-CN"/>
              </w:rPr>
              <w:t>岳阳市君山区退役军人事务局</w:t>
            </w:r>
          </w:p>
        </w:tc>
        <w:tc>
          <w:tcPr>
            <w:tcW w:w="1093" w:type="dxa"/>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实施单位</w:t>
            </w:r>
          </w:p>
        </w:tc>
        <w:tc>
          <w:tcPr>
            <w:tcW w:w="2818" w:type="dxa"/>
            <w:gridSpan w:val="3"/>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sz w:val="20"/>
                <w:szCs w:val="20"/>
                <w:highlight w:val="none"/>
                <w:lang w:eastAsia="zh-CN"/>
              </w:rPr>
              <w:t>岳阳市君山区退役军人事务局</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项目资金</w:t>
            </w:r>
            <w:r>
              <w:rPr>
                <w:rFonts w:hint="eastAsia" w:ascii="仿宋_GB2312" w:hAnsi="仿宋_GB2312" w:eastAsia="仿宋_GB2312" w:cs="仿宋_GB2312"/>
                <w:color w:val="000000"/>
                <w:sz w:val="20"/>
                <w:szCs w:val="20"/>
                <w:highlight w:val="none"/>
              </w:rPr>
              <w:br w:type="textWrapping"/>
            </w:r>
            <w:r>
              <w:rPr>
                <w:rFonts w:hint="eastAsia" w:ascii="仿宋_GB2312" w:hAnsi="仿宋_GB2312" w:eastAsia="仿宋_GB2312" w:cs="仿宋_GB2312"/>
                <w:color w:val="000000"/>
                <w:sz w:val="20"/>
                <w:szCs w:val="20"/>
                <w:highlight w:val="none"/>
              </w:rPr>
              <w:t>（万元）</w:t>
            </w:r>
          </w:p>
        </w:tc>
        <w:tc>
          <w:tcPr>
            <w:tcW w:w="231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年初</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全年</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预算数</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全年</w:t>
            </w:r>
          </w:p>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执行数</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分值</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执行率</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sz w:val="20"/>
                <w:szCs w:val="20"/>
                <w:highlight w:val="none"/>
              </w:rPr>
            </w:pPr>
            <w:r>
              <w:rPr>
                <w:rFonts w:hint="eastAsia" w:ascii="仿宋_GB2312" w:hAnsi="仿宋_GB2312" w:eastAsia="仿宋_GB2312" w:cs="仿宋_GB2312"/>
                <w:sz w:val="20"/>
                <w:szCs w:val="20"/>
                <w:highlight w:val="none"/>
              </w:rPr>
              <w:t>得分</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31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年度资金总额　</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223.2</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223.2　</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223.2　</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100%</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31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其中：当年财政拨款　</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223.2</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223.2　</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223.2　</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31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上年结转资金　</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2319" w:type="dxa"/>
            <w:gridSpan w:val="2"/>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ind w:firstLine="600" w:firstLineChars="300"/>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其他资金</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年度总体目标</w:t>
            </w:r>
          </w:p>
        </w:tc>
        <w:tc>
          <w:tcPr>
            <w:tcW w:w="4965"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预期目标</w:t>
            </w:r>
          </w:p>
        </w:tc>
        <w:tc>
          <w:tcPr>
            <w:tcW w:w="3911"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实际完成情况　</w:t>
            </w:r>
          </w:p>
        </w:tc>
      </w:tr>
      <w:tr>
        <w:tblPrEx>
          <w:tblCellMar>
            <w:top w:w="0" w:type="dxa"/>
            <w:left w:w="108" w:type="dxa"/>
            <w:bottom w:w="0" w:type="dxa"/>
            <w:right w:w="108" w:type="dxa"/>
          </w:tblCellMar>
        </w:tblPrEx>
        <w:trPr>
          <w:jc w:val="center"/>
        </w:trPr>
        <w:tc>
          <w:tcPr>
            <w:tcW w:w="1080" w:type="dxa"/>
            <w:vMerge w:val="continue"/>
            <w:tcBorders>
              <w:top w:val="nil"/>
              <w:left w:val="single" w:color="auto" w:sz="4" w:space="0"/>
              <w:bottom w:val="single" w:color="000000"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4965" w:type="dxa"/>
            <w:gridSpan w:val="4"/>
            <w:tcBorders>
              <w:top w:val="single" w:color="auto" w:sz="4" w:space="0"/>
              <w:left w:val="nil"/>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确保退役军人享受政策规定的待遇</w:t>
            </w:r>
            <w:r>
              <w:rPr>
                <w:rFonts w:hint="eastAsia" w:ascii="仿宋_GB2312" w:hAnsi="仿宋_GB2312" w:eastAsia="仿宋_GB2312" w:cs="仿宋_GB2312"/>
                <w:color w:val="000000"/>
                <w:sz w:val="20"/>
                <w:szCs w:val="20"/>
                <w:highlight w:val="none"/>
              </w:rPr>
              <w:t>　　</w:t>
            </w:r>
          </w:p>
        </w:tc>
        <w:tc>
          <w:tcPr>
            <w:tcW w:w="3911" w:type="dxa"/>
            <w:gridSpan w:val="4"/>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资金拨付到位，退役军人政策规定的待遇已享受。</w:t>
            </w: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restart"/>
            <w:tcBorders>
              <w:top w:val="nil"/>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绩</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标</w:t>
            </w:r>
          </w:p>
        </w:tc>
        <w:tc>
          <w:tcPr>
            <w:tcW w:w="1080"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一级指标</w:t>
            </w:r>
          </w:p>
        </w:tc>
        <w:tc>
          <w:tcPr>
            <w:tcW w:w="1239"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二级指标</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三级指标</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年度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指标值</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实际</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完成值</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分值</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得分</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both"/>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偏差原因分析及改进措施</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产出指标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(50分)</w:t>
            </w:r>
          </w:p>
        </w:tc>
        <w:tc>
          <w:tcPr>
            <w:tcW w:w="1239"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数量指标</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发放企业军转干和企业退休士兵困难补助</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23.19万元</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23.19万元</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39"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为</w:t>
            </w:r>
            <w:r>
              <w:rPr>
                <w:rFonts w:hint="eastAsia" w:ascii="仿宋_GB2312" w:hAnsi="仿宋_GB2312" w:eastAsia="仿宋_GB2312" w:cs="仿宋_GB2312"/>
                <w:color w:val="000000"/>
                <w:sz w:val="20"/>
                <w:szCs w:val="20"/>
                <w:highlight w:val="none"/>
              </w:rPr>
              <w:t>光荣院</w:t>
            </w:r>
            <w:r>
              <w:rPr>
                <w:rFonts w:hint="eastAsia" w:ascii="仿宋_GB2312" w:hAnsi="仿宋_GB2312" w:eastAsia="仿宋_GB2312" w:cs="仿宋_GB2312"/>
                <w:color w:val="000000"/>
                <w:sz w:val="20"/>
                <w:szCs w:val="20"/>
                <w:highlight w:val="none"/>
                <w:lang w:eastAsia="zh-CN"/>
              </w:rPr>
              <w:t>提供经费保障</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21万元</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21万元</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lang w:val="en-US" w:eastAsia="zh-CN"/>
              </w:rPr>
              <w:t>10</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质量指标</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经费拨付合规率</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时效指标</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lang w:eastAsia="zh-CN"/>
              </w:rPr>
              <w:t>经费拨付及时率</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val="en-US" w:eastAsia="zh-CN"/>
              </w:rPr>
              <w:t>100%</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成本指标</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rPr>
            </w:pPr>
            <w:r>
              <w:rPr>
                <w:rFonts w:hint="eastAsia" w:ascii="仿宋_GB2312" w:hAnsi="仿宋_GB2312" w:eastAsia="仿宋_GB2312" w:cs="仿宋_GB2312"/>
                <w:color w:val="000000"/>
                <w:sz w:val="20"/>
                <w:szCs w:val="20"/>
                <w:highlight w:val="none"/>
                <w:lang w:val="en-US" w:eastAsia="zh-CN"/>
              </w:rPr>
              <w:t>预算控制率</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100%以下</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100%</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10</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效益指标</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（30分）</w:t>
            </w:r>
          </w:p>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c>
          <w:tcPr>
            <w:tcW w:w="12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经济效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实现退役军人及优抚对象就业基本生活保障</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eastAsia="zh-CN"/>
              </w:rPr>
              <w:t>效果明显</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eastAsia="zh-CN"/>
              </w:rPr>
              <w:t>效果明显</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社会效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提升退役军人生活水平</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eastAsia="zh-CN"/>
              </w:rPr>
              <w:t>效果明显</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eastAsia="zh-CN"/>
              </w:rPr>
              <w:t>效果明显</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5</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3</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生态效</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益指标</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可能造成的负面影响</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降低</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eastAsia="zh-CN"/>
              </w:rPr>
              <w:t>降低</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5</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p>
        </w:tc>
        <w:tc>
          <w:tcPr>
            <w:tcW w:w="108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2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可持续影响指标</w:t>
            </w:r>
          </w:p>
        </w:tc>
        <w:tc>
          <w:tcPr>
            <w:tcW w:w="157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val="en-US" w:eastAsia="zh-CN"/>
              </w:rPr>
              <w:t>提升退役军人服务保障水平，维护涉军群体稳定</w:t>
            </w:r>
          </w:p>
        </w:tc>
        <w:tc>
          <w:tcPr>
            <w:tcW w:w="10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eastAsia="zh-CN"/>
              </w:rPr>
              <w:t>效果明显</w:t>
            </w:r>
          </w:p>
        </w:tc>
        <w:tc>
          <w:tcPr>
            <w:tcW w:w="109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kern w:val="0"/>
                <w:sz w:val="20"/>
                <w:szCs w:val="20"/>
                <w:highlight w:val="none"/>
                <w:lang w:val="en-US" w:eastAsia="zh-CN" w:bidi="ar-SA"/>
              </w:rPr>
            </w:pPr>
            <w:r>
              <w:rPr>
                <w:rFonts w:hint="eastAsia" w:ascii="仿宋_GB2312" w:hAnsi="仿宋_GB2312" w:eastAsia="仿宋_GB2312" w:cs="仿宋_GB2312"/>
                <w:color w:val="000000"/>
                <w:sz w:val="20"/>
                <w:szCs w:val="20"/>
                <w:highlight w:val="none"/>
                <w:lang w:eastAsia="zh-CN"/>
              </w:rPr>
              <w:t>效果明显</w:t>
            </w:r>
          </w:p>
        </w:tc>
        <w:tc>
          <w:tcPr>
            <w:tcW w:w="64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91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2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1080" w:type="dxa"/>
            <w:vMerge w:val="continue"/>
            <w:tcBorders>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p>
        </w:tc>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满意度</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指标</w:t>
            </w:r>
          </w:p>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（10分）</w:t>
            </w:r>
          </w:p>
        </w:tc>
        <w:tc>
          <w:tcPr>
            <w:tcW w:w="123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服务对象满意度指标</w:t>
            </w:r>
          </w:p>
        </w:tc>
        <w:tc>
          <w:tcPr>
            <w:tcW w:w="1572"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lang w:eastAsia="zh-CN"/>
              </w:rPr>
              <w:t>退役军人及家属的满意度</w:t>
            </w:r>
          </w:p>
        </w:tc>
        <w:tc>
          <w:tcPr>
            <w:tcW w:w="1074"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宋体" w:hAnsi="宋体" w:eastAsia="宋体" w:cs="宋体"/>
                <w:color w:val="000000"/>
                <w:sz w:val="20"/>
                <w:szCs w:val="20"/>
                <w:highlight w:val="none"/>
              </w:rPr>
              <w:t>≧</w:t>
            </w:r>
            <w:r>
              <w:rPr>
                <w:rFonts w:hint="eastAsia" w:ascii="仿宋_GB2312" w:hAnsi="仿宋_GB2312" w:eastAsia="仿宋_GB2312" w:cs="仿宋_GB2312"/>
                <w:color w:val="000000"/>
                <w:sz w:val="20"/>
                <w:szCs w:val="20"/>
                <w:highlight w:val="none"/>
                <w:lang w:val="en-US" w:eastAsia="zh-CN"/>
              </w:rPr>
              <w:t>95%</w:t>
            </w:r>
          </w:p>
        </w:tc>
        <w:tc>
          <w:tcPr>
            <w:tcW w:w="1093"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98%</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lang w:val="en-US" w:eastAsia="zh-CN"/>
              </w:rPr>
              <w:t>10</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10</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r>
        <w:tblPrEx>
          <w:tblCellMar>
            <w:top w:w="0" w:type="dxa"/>
            <w:left w:w="108" w:type="dxa"/>
            <w:bottom w:w="0" w:type="dxa"/>
            <w:right w:w="108" w:type="dxa"/>
          </w:tblCellMar>
        </w:tblPrEx>
        <w:trPr>
          <w:jc w:val="center"/>
        </w:trPr>
        <w:tc>
          <w:tcPr>
            <w:tcW w:w="7138" w:type="dxa"/>
            <w:gridSpan w:val="6"/>
            <w:tcBorders>
              <w:top w:val="single" w:color="auto" w:sz="4" w:space="0"/>
              <w:left w:val="single" w:color="auto" w:sz="4" w:space="0"/>
              <w:bottom w:val="single" w:color="auto" w:sz="4" w:space="0"/>
              <w:right w:val="single" w:color="000000"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总分</w:t>
            </w:r>
          </w:p>
        </w:tc>
        <w:tc>
          <w:tcPr>
            <w:tcW w:w="64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100</w:t>
            </w:r>
          </w:p>
        </w:tc>
        <w:tc>
          <w:tcPr>
            <w:tcW w:w="911"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default" w:ascii="仿宋_GB2312" w:hAnsi="仿宋_GB2312" w:eastAsia="仿宋_GB2312" w:cs="仿宋_GB2312"/>
                <w:color w:val="000000"/>
                <w:sz w:val="20"/>
                <w:szCs w:val="20"/>
                <w:highlight w:val="none"/>
                <w:lang w:val="en-US" w:eastAsia="zh-CN"/>
              </w:rPr>
            </w:pPr>
            <w:r>
              <w:rPr>
                <w:rFonts w:hint="eastAsia" w:ascii="仿宋_GB2312" w:hAnsi="仿宋_GB2312" w:eastAsia="仿宋_GB2312" w:cs="仿宋_GB2312"/>
                <w:color w:val="000000"/>
                <w:sz w:val="20"/>
                <w:szCs w:val="20"/>
                <w:highlight w:val="none"/>
              </w:rPr>
              <w:t>　</w:t>
            </w:r>
            <w:r>
              <w:rPr>
                <w:rFonts w:hint="eastAsia" w:ascii="仿宋_GB2312" w:hAnsi="仿宋_GB2312" w:eastAsia="仿宋_GB2312" w:cs="仿宋_GB2312"/>
                <w:color w:val="000000"/>
                <w:sz w:val="20"/>
                <w:szCs w:val="20"/>
                <w:highlight w:val="none"/>
                <w:lang w:val="en-US" w:eastAsia="zh-CN"/>
              </w:rPr>
              <w:t>98</w:t>
            </w:r>
          </w:p>
        </w:tc>
        <w:tc>
          <w:tcPr>
            <w:tcW w:w="1266" w:type="dxa"/>
            <w:tcBorders>
              <w:top w:val="nil"/>
              <w:left w:val="nil"/>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spacing w:line="260" w:lineRule="exact"/>
              <w:jc w:val="left"/>
              <w:textAlignment w:val="auto"/>
              <w:rPr>
                <w:rFonts w:hint="eastAsia" w:ascii="仿宋_GB2312" w:hAnsi="仿宋_GB2312" w:eastAsia="仿宋_GB2312" w:cs="仿宋_GB2312"/>
                <w:color w:val="000000"/>
                <w:sz w:val="20"/>
                <w:szCs w:val="20"/>
                <w:highlight w:val="none"/>
              </w:rPr>
            </w:pPr>
            <w:r>
              <w:rPr>
                <w:rFonts w:hint="eastAsia" w:ascii="仿宋_GB2312" w:hAnsi="仿宋_GB2312" w:eastAsia="仿宋_GB2312" w:cs="仿宋_GB2312"/>
                <w:color w:val="000000"/>
                <w:sz w:val="20"/>
                <w:szCs w:val="20"/>
                <w:highlight w:val="none"/>
              </w:rPr>
              <w:t>　</w:t>
            </w:r>
          </w:p>
        </w:tc>
      </w:tr>
    </w:tbl>
    <w:p>
      <w:pPr>
        <w:rPr>
          <w:rFonts w:hint="default" w:ascii="Times New Roman" w:hAnsi="Times New Roman" w:eastAsia="仿宋_GB2312" w:cs="Times New Roman"/>
          <w:sz w:val="18"/>
          <w:szCs w:val="18"/>
          <w:highlight w:val="none"/>
        </w:rPr>
      </w:pPr>
    </w:p>
    <w:p>
      <w:pPr>
        <w:rPr>
          <w:rFonts w:hint="default" w:ascii="Times New Roman" w:hAnsi="Times New Roman" w:eastAsia="仿宋_GB2312" w:cs="Times New Roman"/>
          <w:szCs w:val="21"/>
          <w:highlight w:val="none"/>
        </w:rPr>
      </w:pPr>
      <w:r>
        <w:rPr>
          <w:rFonts w:hint="default" w:ascii="Times New Roman" w:hAnsi="Times New Roman" w:eastAsia="仿宋_GB2312" w:cs="Times New Roman"/>
          <w:sz w:val="18"/>
          <w:szCs w:val="18"/>
          <w:highlight w:val="none"/>
        </w:rPr>
        <w:t>备注：一个一级项目支出一张表。</w:t>
      </w:r>
      <w:r>
        <w:rPr>
          <w:rFonts w:hint="eastAsia" w:ascii="Times New Roman" w:hAnsi="Times New Roman" w:eastAsia="仿宋_GB2312" w:cs="Times New Roman"/>
          <w:sz w:val="18"/>
          <w:szCs w:val="18"/>
          <w:highlight w:val="none"/>
          <w:lang w:eastAsia="zh-CN"/>
        </w:rPr>
        <w:t>如，</w:t>
      </w:r>
      <w:r>
        <w:rPr>
          <w:rFonts w:hint="default" w:ascii="Times New Roman" w:hAnsi="Times New Roman" w:eastAsia="仿宋_GB2312" w:cs="Times New Roman"/>
          <w:sz w:val="18"/>
          <w:szCs w:val="18"/>
          <w:highlight w:val="none"/>
        </w:rPr>
        <w:t>业务工作经费</w:t>
      </w:r>
      <w:r>
        <w:rPr>
          <w:rFonts w:hint="eastAsia" w:ascii="Times New Roman" w:hAnsi="Times New Roman" w:eastAsia="仿宋_GB2312" w:cs="Times New Roman"/>
          <w:sz w:val="18"/>
          <w:szCs w:val="18"/>
          <w:highlight w:val="none"/>
          <w:lang w:eastAsia="zh-CN"/>
        </w:rPr>
        <w:t>，</w:t>
      </w:r>
      <w:r>
        <w:rPr>
          <w:rFonts w:hint="default" w:ascii="Times New Roman" w:hAnsi="Times New Roman" w:eastAsia="仿宋_GB2312" w:cs="Times New Roman"/>
          <w:sz w:val="18"/>
          <w:szCs w:val="18"/>
          <w:highlight w:val="none"/>
        </w:rPr>
        <w:t>运行维护经费</w:t>
      </w:r>
      <w:r>
        <w:rPr>
          <w:rFonts w:hint="eastAsia" w:ascii="Times New Roman" w:hAnsi="Times New Roman" w:eastAsia="仿宋_GB2312" w:cs="Times New Roman"/>
          <w:sz w:val="18"/>
          <w:szCs w:val="18"/>
          <w:highlight w:val="none"/>
          <w:lang w:eastAsia="zh-CN"/>
        </w:rPr>
        <w:t>，其他事业发展类资金…各一张表。</w:t>
      </w:r>
    </w:p>
    <w:p>
      <w:r>
        <w:rPr>
          <w:rFonts w:hint="default" w:ascii="Times New Roman" w:hAnsi="Times New Roman" w:eastAsia="仿宋_GB2312" w:cs="Times New Roman"/>
          <w:sz w:val="22"/>
          <w:szCs w:val="22"/>
          <w:highlight w:val="none"/>
        </w:rPr>
        <w:t xml:space="preserve">填表人：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填报日期：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联系电话：   </w:t>
      </w:r>
      <w:r>
        <w:rPr>
          <w:rFonts w:hint="eastAsia" w:ascii="Times New Roman" w:hAnsi="Times New Roman" w:eastAsia="仿宋_GB2312" w:cs="Times New Roman"/>
          <w:sz w:val="22"/>
          <w:szCs w:val="22"/>
          <w:highlight w:val="none"/>
          <w:lang w:val="en-US" w:eastAsia="zh-CN"/>
        </w:rPr>
        <w:t xml:space="preserve">         </w:t>
      </w:r>
      <w:r>
        <w:rPr>
          <w:rFonts w:hint="default" w:ascii="Times New Roman" w:hAnsi="Times New Roman" w:eastAsia="仿宋_GB2312" w:cs="Times New Roman"/>
          <w:sz w:val="22"/>
          <w:szCs w:val="22"/>
          <w:highlight w:val="none"/>
        </w:rPr>
        <w:t xml:space="preserve"> 单位负责人签字：</w:t>
      </w:r>
    </w:p>
    <w:p>
      <w:pPr>
        <w:pStyle w:val="2"/>
        <w:rPr>
          <w:rFonts w:hint="default" w:ascii="Times New Roman" w:hAnsi="Times New Roman" w:eastAsia="仿宋_GB2312" w:cs="Times New Roman"/>
          <w:sz w:val="22"/>
          <w:szCs w:val="22"/>
          <w:highlight w:val="none"/>
        </w:rPr>
      </w:pPr>
    </w:p>
    <w:p>
      <w:pPr>
        <w:pStyle w:val="2"/>
        <w:rPr>
          <w:rFonts w:hint="eastAsia" w:ascii="Times New Roman" w:hAnsi="Times New Roman" w:eastAsia="仿宋_GB2312" w:cs="Times New Roman"/>
          <w:sz w:val="22"/>
          <w:szCs w:val="22"/>
          <w:highlight w:val="none"/>
          <w:lang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40000" w:csb1="00000000"/>
  </w:font>
  <w:font w:name="方正小标宋简体">
    <w:altName w:val="方正舒体"/>
    <w:panose1 w:val="02000000000000000000"/>
    <w:charset w:val="86"/>
    <w:family w:val="auto"/>
    <w:pitch w:val="default"/>
    <w:sig w:usb0="00000000" w:usb1="00000000" w:usb2="00000012"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5F3F75"/>
    <w:multiLevelType w:val="singleLevel"/>
    <w:tmpl w:val="8B5F3F75"/>
    <w:lvl w:ilvl="0" w:tentative="0">
      <w:start w:val="1"/>
      <w:numFmt w:val="decimal"/>
      <w:suff w:val="nothing"/>
      <w:lvlText w:val="%1、"/>
      <w:lvlJc w:val="left"/>
    </w:lvl>
  </w:abstractNum>
  <w:abstractNum w:abstractNumId="1">
    <w:nsid w:val="A5E55167"/>
    <w:multiLevelType w:val="singleLevel"/>
    <w:tmpl w:val="A5E55167"/>
    <w:lvl w:ilvl="0" w:tentative="0">
      <w:start w:val="8"/>
      <w:numFmt w:val="chineseCounting"/>
      <w:suff w:val="nothing"/>
      <w:lvlText w:val="%1、"/>
      <w:lvlJc w:val="left"/>
      <w:rPr>
        <w:rFonts w:hint="eastAsia"/>
      </w:rPr>
    </w:lvl>
  </w:abstractNum>
  <w:abstractNum w:abstractNumId="2">
    <w:nsid w:val="1113A4A2"/>
    <w:multiLevelType w:val="singleLevel"/>
    <w:tmpl w:val="1113A4A2"/>
    <w:lvl w:ilvl="0" w:tentative="0">
      <w:start w:val="1"/>
      <w:numFmt w:val="chineseCounting"/>
      <w:suff w:val="nothing"/>
      <w:lvlText w:val="（%1）"/>
      <w:lvlJc w:val="left"/>
      <w:rPr>
        <w:rFonts w:hint="eastAsia"/>
      </w:rPr>
    </w:lvl>
  </w:abstractNum>
  <w:abstractNum w:abstractNumId="3">
    <w:nsid w:val="425036FE"/>
    <w:multiLevelType w:val="singleLevel"/>
    <w:tmpl w:val="425036FE"/>
    <w:lvl w:ilvl="0" w:tentative="0">
      <w:start w:val="2"/>
      <w:numFmt w:val="chineseCounting"/>
      <w:suff w:val="nothing"/>
      <w:lvlText w:val="（%1）"/>
      <w:lvlJc w:val="left"/>
      <w:rPr>
        <w:rFonts w:hint="eastAsia"/>
      </w:rPr>
    </w:lvl>
  </w:abstractNum>
  <w:abstractNum w:abstractNumId="4">
    <w:nsid w:val="7F0490DB"/>
    <w:multiLevelType w:val="singleLevel"/>
    <w:tmpl w:val="7F0490DB"/>
    <w:lvl w:ilvl="0" w:tentative="0">
      <w:start w:val="1"/>
      <w:numFmt w:val="chineseCounting"/>
      <w:suff w:val="nothing"/>
      <w:lvlText w:val="%1、"/>
      <w:lvlJc w:val="left"/>
      <w:rPr>
        <w:rFonts w:hint="eastAsia"/>
      </w:rPr>
    </w:lvl>
  </w:abstractNum>
  <w:abstractNum w:abstractNumId="5">
    <w:nsid w:val="7F66692C"/>
    <w:multiLevelType w:val="singleLevel"/>
    <w:tmpl w:val="7F66692C"/>
    <w:lvl w:ilvl="0" w:tentative="0">
      <w:start w:val="3"/>
      <w:numFmt w:val="chineseCounting"/>
      <w:suff w:val="nothing"/>
      <w:lvlText w:val="（%1）"/>
      <w:lvlJc w:val="left"/>
      <w:rPr>
        <w:rFonts w:hint="eastAsia"/>
      </w:rPr>
    </w:lvl>
  </w:abstractNum>
  <w:num w:numId="1">
    <w:abstractNumId w:val="4"/>
  </w:num>
  <w:num w:numId="2">
    <w:abstractNumId w:val="5"/>
  </w:num>
  <w:num w:numId="3">
    <w:abstractNumId w:val="3"/>
  </w:num>
  <w:num w:numId="4">
    <w:abstractNumId w:val="2"/>
  </w:num>
  <w:num w:numId="5">
    <w:abstractNumId w:val="0"/>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1OWIzYzk1MWM3N2I3MjEzZjQ5NzNmYzQ5ZWNlZGYifQ=="/>
  </w:docVars>
  <w:rsids>
    <w:rsidRoot w:val="59886344"/>
    <w:rsid w:val="005C088A"/>
    <w:rsid w:val="0061443A"/>
    <w:rsid w:val="00F57038"/>
    <w:rsid w:val="01452321"/>
    <w:rsid w:val="03585F5D"/>
    <w:rsid w:val="0368705F"/>
    <w:rsid w:val="03E40645"/>
    <w:rsid w:val="04616D4B"/>
    <w:rsid w:val="05F16DA0"/>
    <w:rsid w:val="06491C6E"/>
    <w:rsid w:val="067D155B"/>
    <w:rsid w:val="068C2377"/>
    <w:rsid w:val="077D6506"/>
    <w:rsid w:val="08D531AA"/>
    <w:rsid w:val="0AA00F1A"/>
    <w:rsid w:val="0AA752E9"/>
    <w:rsid w:val="0B521208"/>
    <w:rsid w:val="0BC94E08"/>
    <w:rsid w:val="0BD0037E"/>
    <w:rsid w:val="0BD07CC1"/>
    <w:rsid w:val="0C6F0575"/>
    <w:rsid w:val="0FC41FA8"/>
    <w:rsid w:val="104073FF"/>
    <w:rsid w:val="11641A87"/>
    <w:rsid w:val="1216504A"/>
    <w:rsid w:val="12EB7235"/>
    <w:rsid w:val="13B10A95"/>
    <w:rsid w:val="13D670D0"/>
    <w:rsid w:val="13DA2702"/>
    <w:rsid w:val="1405311A"/>
    <w:rsid w:val="1461070D"/>
    <w:rsid w:val="172B2124"/>
    <w:rsid w:val="172D2B29"/>
    <w:rsid w:val="17DC7904"/>
    <w:rsid w:val="18096877"/>
    <w:rsid w:val="18A72D74"/>
    <w:rsid w:val="198A7D37"/>
    <w:rsid w:val="1B943177"/>
    <w:rsid w:val="1CA92FCC"/>
    <w:rsid w:val="1DD737EE"/>
    <w:rsid w:val="1E284F2F"/>
    <w:rsid w:val="1ECA401E"/>
    <w:rsid w:val="1F417171"/>
    <w:rsid w:val="1F9C4CF0"/>
    <w:rsid w:val="1FE13D1F"/>
    <w:rsid w:val="1FE411A4"/>
    <w:rsid w:val="20717F2A"/>
    <w:rsid w:val="2074096A"/>
    <w:rsid w:val="20F87A39"/>
    <w:rsid w:val="216B6728"/>
    <w:rsid w:val="24BE2C1C"/>
    <w:rsid w:val="24EF5F09"/>
    <w:rsid w:val="27CB7F20"/>
    <w:rsid w:val="292C7FA1"/>
    <w:rsid w:val="2A100353"/>
    <w:rsid w:val="2A450AA9"/>
    <w:rsid w:val="2B0F3E96"/>
    <w:rsid w:val="2B163DB4"/>
    <w:rsid w:val="2BAA0E41"/>
    <w:rsid w:val="2BD47C7C"/>
    <w:rsid w:val="2D410C84"/>
    <w:rsid w:val="2E514EF7"/>
    <w:rsid w:val="2F0E4B96"/>
    <w:rsid w:val="2F2045CC"/>
    <w:rsid w:val="307465B1"/>
    <w:rsid w:val="320B53DF"/>
    <w:rsid w:val="321D3FE2"/>
    <w:rsid w:val="32A73338"/>
    <w:rsid w:val="32C548F8"/>
    <w:rsid w:val="34F47195"/>
    <w:rsid w:val="35CF5E74"/>
    <w:rsid w:val="36C47BB4"/>
    <w:rsid w:val="38211920"/>
    <w:rsid w:val="388F448F"/>
    <w:rsid w:val="38C118F0"/>
    <w:rsid w:val="3B23785C"/>
    <w:rsid w:val="3C156456"/>
    <w:rsid w:val="3C591B47"/>
    <w:rsid w:val="3CF73497"/>
    <w:rsid w:val="3D070645"/>
    <w:rsid w:val="3D0C0E4A"/>
    <w:rsid w:val="3D3954D4"/>
    <w:rsid w:val="3DC87AFE"/>
    <w:rsid w:val="3E0B6E71"/>
    <w:rsid w:val="3F696B11"/>
    <w:rsid w:val="403D2249"/>
    <w:rsid w:val="41B63929"/>
    <w:rsid w:val="41E53E7C"/>
    <w:rsid w:val="41F76A00"/>
    <w:rsid w:val="42044303"/>
    <w:rsid w:val="42182D4E"/>
    <w:rsid w:val="421D3616"/>
    <w:rsid w:val="427C2F78"/>
    <w:rsid w:val="42907FB1"/>
    <w:rsid w:val="43087A30"/>
    <w:rsid w:val="43A64B2A"/>
    <w:rsid w:val="43B151C2"/>
    <w:rsid w:val="440B0BF3"/>
    <w:rsid w:val="4441183E"/>
    <w:rsid w:val="445265DF"/>
    <w:rsid w:val="44930287"/>
    <w:rsid w:val="457B1DD3"/>
    <w:rsid w:val="457B3FA5"/>
    <w:rsid w:val="458D5615"/>
    <w:rsid w:val="47F62B74"/>
    <w:rsid w:val="4829354E"/>
    <w:rsid w:val="48D34A2F"/>
    <w:rsid w:val="497F0684"/>
    <w:rsid w:val="49A50F0B"/>
    <w:rsid w:val="49C65963"/>
    <w:rsid w:val="49FF2520"/>
    <w:rsid w:val="4A747320"/>
    <w:rsid w:val="4A777CAA"/>
    <w:rsid w:val="4B4A2975"/>
    <w:rsid w:val="4B632792"/>
    <w:rsid w:val="4B9C166F"/>
    <w:rsid w:val="4C404189"/>
    <w:rsid w:val="4E8D742E"/>
    <w:rsid w:val="4E8F158A"/>
    <w:rsid w:val="4EC87298"/>
    <w:rsid w:val="4EEE5CAE"/>
    <w:rsid w:val="503F0BFC"/>
    <w:rsid w:val="513C11EA"/>
    <w:rsid w:val="51F14880"/>
    <w:rsid w:val="522400A9"/>
    <w:rsid w:val="540612DD"/>
    <w:rsid w:val="54326440"/>
    <w:rsid w:val="56A92D79"/>
    <w:rsid w:val="56EE3E47"/>
    <w:rsid w:val="570F7BE9"/>
    <w:rsid w:val="577354C1"/>
    <w:rsid w:val="581133FF"/>
    <w:rsid w:val="58390C8D"/>
    <w:rsid w:val="587B59FA"/>
    <w:rsid w:val="59886344"/>
    <w:rsid w:val="59BB0154"/>
    <w:rsid w:val="5AF440A0"/>
    <w:rsid w:val="5B192C82"/>
    <w:rsid w:val="5B411CCC"/>
    <w:rsid w:val="5B950730"/>
    <w:rsid w:val="5C1263A3"/>
    <w:rsid w:val="5C387CEC"/>
    <w:rsid w:val="5EE144F9"/>
    <w:rsid w:val="5EE85CDB"/>
    <w:rsid w:val="60251BBC"/>
    <w:rsid w:val="608E2616"/>
    <w:rsid w:val="609A30DF"/>
    <w:rsid w:val="61045C75"/>
    <w:rsid w:val="619E0691"/>
    <w:rsid w:val="62D378CB"/>
    <w:rsid w:val="63202106"/>
    <w:rsid w:val="63982438"/>
    <w:rsid w:val="6410048D"/>
    <w:rsid w:val="64B37AF4"/>
    <w:rsid w:val="64CF6C8F"/>
    <w:rsid w:val="674F6FAE"/>
    <w:rsid w:val="68050B78"/>
    <w:rsid w:val="682C4394"/>
    <w:rsid w:val="68DD5D2B"/>
    <w:rsid w:val="6A7B3442"/>
    <w:rsid w:val="6AC326FD"/>
    <w:rsid w:val="6B4E69D7"/>
    <w:rsid w:val="6B99345E"/>
    <w:rsid w:val="6C303DC2"/>
    <w:rsid w:val="6CA97D11"/>
    <w:rsid w:val="6D7A7422"/>
    <w:rsid w:val="6D7E46BA"/>
    <w:rsid w:val="6E705326"/>
    <w:rsid w:val="6EBC4974"/>
    <w:rsid w:val="6EC01A4C"/>
    <w:rsid w:val="6F0D3B6F"/>
    <w:rsid w:val="6F944BD5"/>
    <w:rsid w:val="6F9C52CB"/>
    <w:rsid w:val="702459EC"/>
    <w:rsid w:val="70F133F4"/>
    <w:rsid w:val="713C0270"/>
    <w:rsid w:val="71516148"/>
    <w:rsid w:val="72744FEC"/>
    <w:rsid w:val="73102258"/>
    <w:rsid w:val="73E864FB"/>
    <w:rsid w:val="758D6016"/>
    <w:rsid w:val="75E30761"/>
    <w:rsid w:val="765166D6"/>
    <w:rsid w:val="767D7DFF"/>
    <w:rsid w:val="76EF4782"/>
    <w:rsid w:val="7728263E"/>
    <w:rsid w:val="78E73A5B"/>
    <w:rsid w:val="79607369"/>
    <w:rsid w:val="798C015E"/>
    <w:rsid w:val="7A5614FA"/>
    <w:rsid w:val="7BA13F19"/>
    <w:rsid w:val="7C7D6B26"/>
    <w:rsid w:val="7C9150AE"/>
    <w:rsid w:val="7C99209E"/>
    <w:rsid w:val="7D891E60"/>
    <w:rsid w:val="7F2A13E6"/>
    <w:rsid w:val="7F343489"/>
    <w:rsid w:val="DFEF884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99"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 w:hAnsi="仿宋" w:eastAsia="宋体" w:cs="Times New Roman"/>
      <w:kern w:val="0"/>
      <w:sz w:val="28"/>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仿宋" w:hAnsi="仿宋" w:eastAsia="仿宋" w:cs="仿宋"/>
      <w:sz w:val="31"/>
      <w:szCs w:val="31"/>
      <w:lang w:val="en-US" w:eastAsia="en-US" w:bidi="ar-SA"/>
    </w:rPr>
  </w:style>
  <w:style w:type="paragraph" w:styleId="3">
    <w:name w:val="Normal Indent"/>
    <w:basedOn w:val="1"/>
    <w:unhideWhenUsed/>
    <w:qFormat/>
    <w:uiPriority w:val="99"/>
    <w:pPr>
      <w:ind w:firstLine="420" w:firstLineChars="200"/>
    </w:p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paragraph" w:customStyle="1" w:styleId="7">
    <w:name w:val="BodyText"/>
    <w:basedOn w:val="1"/>
    <w:next w:val="8"/>
    <w:qFormat/>
    <w:uiPriority w:val="0"/>
    <w:pPr>
      <w:textAlignment w:val="baseline"/>
    </w:pPr>
    <w:rPr>
      <w:rFonts w:ascii="仿宋_GB2312" w:hAnsi="仿宋_GB2312" w:eastAsia="仿宋_GB2312"/>
      <w:sz w:val="32"/>
      <w:szCs w:val="32"/>
      <w:lang w:val="zh-CN" w:bidi="zh-CN"/>
    </w:rPr>
  </w:style>
  <w:style w:type="paragraph" w:customStyle="1" w:styleId="8">
    <w:name w:val="BodyText1I"/>
    <w:basedOn w:val="7"/>
    <w:qFormat/>
    <w:uiPriority w:val="0"/>
    <w:pPr>
      <w:ind w:firstLine="420" w:firstLineChars="100"/>
      <w:textAlignment w:val="baseline"/>
    </w:pPr>
    <w:rPr>
      <w:rFonts w:ascii="仿宋_GB2312" w:hAnsi="仿宋_GB2312" w:eastAsia="仿宋_GB2312" w:cs="宋体"/>
      <w:sz w:val="32"/>
      <w:szCs w:val="32"/>
      <w:lang w:val="zh-CN" w:bidi="zh-CN"/>
    </w:rPr>
  </w:style>
  <w:style w:type="paragraph" w:customStyle="1" w:styleId="9">
    <w:name w:val="列出段落1"/>
    <w:basedOn w:val="1"/>
    <w:qFormat/>
    <w:uiPriority w:val="34"/>
    <w:pPr>
      <w:ind w:firstLine="420" w:firstLineChars="200"/>
    </w:pPr>
  </w:style>
  <w:style w:type="paragraph" w:styleId="10">
    <w:name w:val="List Paragraph"/>
    <w:basedOn w:val="1"/>
    <w:qFormat/>
    <w:uiPriority w:val="99"/>
    <w:pPr>
      <w:ind w:firstLine="420" w:firstLineChars="200"/>
    </w:pPr>
    <w:rPr>
      <w:rFonts w:ascii="Calibri" w:hAnsi="Calibri"/>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16</Pages>
  <Words>4954</Words>
  <Characters>5331</Characters>
  <Lines>0</Lines>
  <Paragraphs>0</Paragraphs>
  <TotalTime>5</TotalTime>
  <ScaleCrop>false</ScaleCrop>
  <LinksUpToDate>false</LinksUpToDate>
  <CharactersWithSpaces>5765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2024-03-18T08:36:00Z</dcterms:created>
  <dc:creator>Administrator</dc:creator>
  <cp:lastModifiedBy>Mr.1.689小姐</cp:lastModifiedBy>
  <dcterms:modified xsi:type="dcterms:W3CDTF">2024-07-01T02:06:10Z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12C804FB5DC74582993175EDEB038DA2_13</vt:lpwstr>
  </property>
</Properties>
</file>