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Lines="0" w:line="360" w:lineRule="auto"/>
        <w:ind w:right="0" w:rightChars="0"/>
        <w:jc w:val="both"/>
        <w:textAlignment w:val="auto"/>
        <w:rPr>
          <w:rFonts w:hint="eastAsia" w:ascii="仿宋_GB2312" w:hAnsi="仿宋_GB2312" w:eastAsia="仿宋_GB2312" w:cs="仿宋_GB2312"/>
          <w:sz w:val="32"/>
          <w:szCs w:val="32"/>
          <w:highlight w:val="none"/>
          <w:lang w:eastAsia="zh-CN"/>
        </w:rPr>
      </w:pPr>
    </w:p>
    <w:p>
      <w:pPr>
        <w:spacing w:after="120" w:afterLines="50" w:line="600" w:lineRule="exact"/>
        <w:jc w:val="both"/>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eastAsia="zh-CN"/>
        </w:rPr>
        <w:t>附件</w:t>
      </w:r>
      <w:r>
        <w:rPr>
          <w:rFonts w:hint="eastAsia" w:ascii="黑体" w:hAnsi="黑体" w:eastAsia="黑体" w:cs="黑体"/>
          <w:sz w:val="32"/>
          <w:szCs w:val="32"/>
          <w:highlight w:val="none"/>
          <w:lang w:val="en-US" w:eastAsia="zh-CN"/>
        </w:rPr>
        <w:t>1</w:t>
      </w:r>
    </w:p>
    <w:p>
      <w:pPr>
        <w:spacing w:after="120" w:afterLines="50" w:line="600" w:lineRule="exact"/>
        <w:jc w:val="center"/>
        <w:rPr>
          <w:rFonts w:hint="eastAsia" w:ascii="方正小标宋简体" w:hAnsi="方正小标宋简体" w:eastAsia="方正小标宋简体" w:cs="方正小标宋简体"/>
          <w:sz w:val="24"/>
          <w:highlight w:val="none"/>
        </w:rPr>
      </w:pPr>
      <w:r>
        <w:rPr>
          <w:rFonts w:hint="eastAsia" w:ascii="方正小标宋简体" w:hAnsi="方正小标宋简体" w:eastAsia="方正小标宋简体" w:cs="方正小标宋简体"/>
          <w:sz w:val="36"/>
          <w:szCs w:val="36"/>
          <w:highlight w:val="none"/>
        </w:rPr>
        <w:t>202</w:t>
      </w:r>
      <w:r>
        <w:rPr>
          <w:rFonts w:hint="eastAsia" w:ascii="方正小标宋简体" w:hAnsi="方正小标宋简体" w:eastAsia="方正小标宋简体" w:cs="方正小标宋简体"/>
          <w:sz w:val="36"/>
          <w:szCs w:val="36"/>
          <w:highlight w:val="none"/>
          <w:lang w:val="en-US" w:eastAsia="zh-CN"/>
        </w:rPr>
        <w:t>3</w:t>
      </w:r>
      <w:r>
        <w:rPr>
          <w:rFonts w:hint="eastAsia" w:ascii="方正小标宋简体" w:hAnsi="方正小标宋简体" w:eastAsia="方正小标宋简体" w:cs="方正小标宋简体"/>
          <w:sz w:val="36"/>
          <w:szCs w:val="36"/>
          <w:highlight w:val="none"/>
        </w:rPr>
        <w:t>年度部门整体支出绩效评价基础数据表</w:t>
      </w:r>
    </w:p>
    <w:tbl>
      <w:tblPr>
        <w:tblStyle w:val="3"/>
        <w:tblW w:w="9673" w:type="dxa"/>
        <w:jc w:val="center"/>
        <w:tblLayout w:type="fixed"/>
        <w:tblCellMar>
          <w:top w:w="0" w:type="dxa"/>
          <w:left w:w="108" w:type="dxa"/>
          <w:bottom w:w="0" w:type="dxa"/>
          <w:right w:w="108" w:type="dxa"/>
        </w:tblCellMar>
      </w:tblPr>
      <w:tblGrid>
        <w:gridCol w:w="3354"/>
        <w:gridCol w:w="1189"/>
        <w:gridCol w:w="849"/>
        <w:gridCol w:w="1129"/>
        <w:gridCol w:w="1111"/>
        <w:gridCol w:w="1081"/>
        <w:gridCol w:w="960"/>
      </w:tblGrid>
      <w:tr>
        <w:tblPrEx>
          <w:tblCellMar>
            <w:top w:w="0" w:type="dxa"/>
            <w:left w:w="108" w:type="dxa"/>
            <w:bottom w:w="0" w:type="dxa"/>
            <w:right w:w="108" w:type="dxa"/>
          </w:tblCellMar>
        </w:tblPrEx>
        <w:trPr>
          <w:trHeight w:val="0" w:hRule="atLeast"/>
          <w:jc w:val="center"/>
        </w:trPr>
        <w:tc>
          <w:tcPr>
            <w:tcW w:w="3354"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财政供养人员情况（人）</w:t>
            </w:r>
          </w:p>
        </w:tc>
        <w:tc>
          <w:tcPr>
            <w:tcW w:w="2038" w:type="dxa"/>
            <w:gridSpan w:val="2"/>
            <w:tcBorders>
              <w:top w:val="single" w:color="auto" w:sz="4" w:space="0"/>
              <w:left w:val="nil"/>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b/>
                <w:bCs/>
                <w:sz w:val="20"/>
                <w:szCs w:val="20"/>
                <w:highlight w:val="none"/>
              </w:rPr>
            </w:pPr>
            <w:r>
              <w:rPr>
                <w:rFonts w:hint="eastAsia" w:ascii="仿宋_GB2312" w:hAnsi="仿宋_GB2312" w:eastAsia="仿宋_GB2312" w:cs="仿宋_GB2312"/>
                <w:b/>
                <w:bCs/>
                <w:sz w:val="20"/>
                <w:szCs w:val="20"/>
                <w:highlight w:val="none"/>
              </w:rPr>
              <w:t>编制数</w:t>
            </w:r>
          </w:p>
        </w:tc>
        <w:tc>
          <w:tcPr>
            <w:tcW w:w="2240" w:type="dxa"/>
            <w:gridSpan w:val="2"/>
            <w:tcBorders>
              <w:top w:val="single" w:color="auto" w:sz="4" w:space="0"/>
              <w:left w:val="nil"/>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b/>
                <w:bCs/>
                <w:sz w:val="20"/>
                <w:szCs w:val="20"/>
                <w:highlight w:val="none"/>
              </w:rPr>
            </w:pPr>
            <w:r>
              <w:rPr>
                <w:rFonts w:hint="eastAsia" w:ascii="仿宋_GB2312" w:hAnsi="仿宋_GB2312" w:eastAsia="仿宋_GB2312" w:cs="仿宋_GB2312"/>
                <w:b/>
                <w:bCs/>
                <w:sz w:val="20"/>
                <w:szCs w:val="20"/>
                <w:highlight w:val="none"/>
              </w:rPr>
              <w:t>202</w:t>
            </w:r>
            <w:r>
              <w:rPr>
                <w:rFonts w:hint="eastAsia" w:ascii="仿宋_GB2312" w:hAnsi="仿宋_GB2312" w:eastAsia="仿宋_GB2312" w:cs="仿宋_GB2312"/>
                <w:b/>
                <w:bCs/>
                <w:sz w:val="20"/>
                <w:szCs w:val="20"/>
                <w:highlight w:val="none"/>
                <w:lang w:val="en-US" w:eastAsia="zh-CN"/>
              </w:rPr>
              <w:t>3</w:t>
            </w:r>
            <w:r>
              <w:rPr>
                <w:rFonts w:hint="eastAsia" w:ascii="仿宋_GB2312" w:hAnsi="仿宋_GB2312" w:eastAsia="仿宋_GB2312" w:cs="仿宋_GB2312"/>
                <w:b/>
                <w:bCs/>
                <w:sz w:val="20"/>
                <w:szCs w:val="20"/>
                <w:highlight w:val="none"/>
              </w:rPr>
              <w:t>年实际在职人数</w:t>
            </w:r>
          </w:p>
        </w:tc>
        <w:tc>
          <w:tcPr>
            <w:tcW w:w="2041" w:type="dxa"/>
            <w:gridSpan w:val="2"/>
            <w:tcBorders>
              <w:top w:val="single" w:color="auto" w:sz="4" w:space="0"/>
              <w:left w:val="nil"/>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b/>
                <w:bCs/>
                <w:sz w:val="20"/>
                <w:szCs w:val="20"/>
                <w:highlight w:val="none"/>
              </w:rPr>
            </w:pPr>
            <w:r>
              <w:rPr>
                <w:rFonts w:hint="eastAsia" w:ascii="仿宋_GB2312" w:hAnsi="仿宋_GB2312" w:eastAsia="仿宋_GB2312" w:cs="仿宋_GB2312"/>
                <w:b/>
                <w:bCs/>
                <w:sz w:val="20"/>
                <w:szCs w:val="20"/>
                <w:highlight w:val="none"/>
              </w:rPr>
              <w:t>控制率</w:t>
            </w:r>
          </w:p>
        </w:tc>
      </w:tr>
      <w:tr>
        <w:tblPrEx>
          <w:tblCellMar>
            <w:top w:w="0" w:type="dxa"/>
            <w:left w:w="108" w:type="dxa"/>
            <w:bottom w:w="0" w:type="dxa"/>
            <w:right w:w="108" w:type="dxa"/>
          </w:tblCellMar>
        </w:tblPrEx>
        <w:trPr>
          <w:trHeight w:val="0" w:hRule="atLeast"/>
          <w:jc w:val="center"/>
        </w:trPr>
        <w:tc>
          <w:tcPr>
            <w:tcW w:w="335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p>
        </w:tc>
        <w:tc>
          <w:tcPr>
            <w:tcW w:w="2038" w:type="dxa"/>
            <w:gridSpan w:val="2"/>
            <w:tcBorders>
              <w:top w:val="single" w:color="auto" w:sz="4" w:space="0"/>
              <w:left w:val="nil"/>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lang w:val="en-US" w:eastAsia="zh-CN"/>
              </w:rPr>
              <w:t>83</w:t>
            </w:r>
            <w:r>
              <w:rPr>
                <w:rFonts w:hint="eastAsia" w:ascii="仿宋_GB2312" w:hAnsi="仿宋_GB2312" w:eastAsia="仿宋_GB2312" w:cs="仿宋_GB2312"/>
                <w:sz w:val="20"/>
                <w:szCs w:val="20"/>
                <w:highlight w:val="none"/>
              </w:rPr>
              <w:t>　</w:t>
            </w:r>
          </w:p>
        </w:tc>
        <w:tc>
          <w:tcPr>
            <w:tcW w:w="2240" w:type="dxa"/>
            <w:gridSpan w:val="2"/>
            <w:tcBorders>
              <w:top w:val="single" w:color="auto" w:sz="4" w:space="0"/>
              <w:left w:val="nil"/>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lang w:val="en-US" w:eastAsia="zh-CN"/>
              </w:rPr>
              <w:t>83</w:t>
            </w:r>
            <w:r>
              <w:rPr>
                <w:rFonts w:hint="eastAsia" w:ascii="仿宋_GB2312" w:hAnsi="仿宋_GB2312" w:eastAsia="仿宋_GB2312" w:cs="仿宋_GB2312"/>
                <w:sz w:val="20"/>
                <w:szCs w:val="20"/>
                <w:highlight w:val="none"/>
              </w:rPr>
              <w:t>　</w:t>
            </w:r>
          </w:p>
        </w:tc>
        <w:tc>
          <w:tcPr>
            <w:tcW w:w="2041" w:type="dxa"/>
            <w:gridSpan w:val="2"/>
            <w:tcBorders>
              <w:top w:val="single" w:color="auto" w:sz="4" w:space="0"/>
              <w:left w:val="nil"/>
              <w:bottom w:val="single" w:color="auto" w:sz="4" w:space="0"/>
              <w:right w:val="single" w:color="auto" w:sz="4" w:space="0"/>
            </w:tcBorders>
            <w:noWrap w:val="0"/>
            <w:vAlign w:val="center"/>
          </w:tcPr>
          <w:p>
            <w:pPr>
              <w:widowControl/>
              <w:spacing w:line="360" w:lineRule="exact"/>
              <w:jc w:val="center"/>
              <w:rPr>
                <w:rFonts w:hint="default"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rPr>
              <w:t>　</w:t>
            </w:r>
            <w:r>
              <w:rPr>
                <w:rFonts w:hint="eastAsia" w:ascii="仿宋_GB2312" w:hAnsi="仿宋_GB2312" w:eastAsia="仿宋_GB2312" w:cs="仿宋_GB2312"/>
                <w:sz w:val="20"/>
                <w:szCs w:val="20"/>
                <w:highlight w:val="none"/>
                <w:lang w:val="en-US" w:eastAsia="zh-CN"/>
              </w:rPr>
              <w:t>100%</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经费控制情况（万元）</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b/>
                <w:bCs/>
                <w:sz w:val="20"/>
                <w:szCs w:val="20"/>
                <w:highlight w:val="none"/>
              </w:rPr>
            </w:pPr>
            <w:r>
              <w:rPr>
                <w:rFonts w:hint="eastAsia" w:ascii="仿宋_GB2312" w:hAnsi="仿宋_GB2312" w:eastAsia="仿宋_GB2312" w:cs="仿宋_GB2312"/>
                <w:b/>
                <w:bCs/>
                <w:sz w:val="20"/>
                <w:szCs w:val="20"/>
                <w:highlight w:val="none"/>
              </w:rPr>
              <w:t>202</w:t>
            </w:r>
            <w:r>
              <w:rPr>
                <w:rFonts w:hint="eastAsia" w:ascii="仿宋_GB2312" w:hAnsi="仿宋_GB2312" w:eastAsia="仿宋_GB2312" w:cs="仿宋_GB2312"/>
                <w:b/>
                <w:bCs/>
                <w:sz w:val="20"/>
                <w:szCs w:val="20"/>
                <w:highlight w:val="none"/>
                <w:lang w:val="en-US" w:eastAsia="zh-CN"/>
              </w:rPr>
              <w:t>2</w:t>
            </w:r>
            <w:r>
              <w:rPr>
                <w:rFonts w:hint="eastAsia" w:ascii="仿宋_GB2312" w:hAnsi="仿宋_GB2312" w:eastAsia="仿宋_GB2312" w:cs="仿宋_GB2312"/>
                <w:b/>
                <w:bCs/>
                <w:sz w:val="20"/>
                <w:szCs w:val="20"/>
                <w:highlight w:val="none"/>
              </w:rPr>
              <w:t>年决算数</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b/>
                <w:bCs/>
                <w:sz w:val="20"/>
                <w:szCs w:val="20"/>
                <w:highlight w:val="none"/>
              </w:rPr>
            </w:pPr>
            <w:r>
              <w:rPr>
                <w:rFonts w:hint="eastAsia" w:ascii="仿宋_GB2312" w:hAnsi="仿宋_GB2312" w:eastAsia="仿宋_GB2312" w:cs="仿宋_GB2312"/>
                <w:b/>
                <w:bCs/>
                <w:sz w:val="20"/>
                <w:szCs w:val="20"/>
                <w:highlight w:val="none"/>
              </w:rPr>
              <w:t>202</w:t>
            </w:r>
            <w:r>
              <w:rPr>
                <w:rFonts w:hint="eastAsia" w:ascii="仿宋_GB2312" w:hAnsi="仿宋_GB2312" w:eastAsia="仿宋_GB2312" w:cs="仿宋_GB2312"/>
                <w:b/>
                <w:bCs/>
                <w:sz w:val="20"/>
                <w:szCs w:val="20"/>
                <w:highlight w:val="none"/>
                <w:lang w:val="en-US" w:eastAsia="zh-CN"/>
              </w:rPr>
              <w:t>3</w:t>
            </w:r>
            <w:r>
              <w:rPr>
                <w:rFonts w:hint="eastAsia" w:ascii="仿宋_GB2312" w:hAnsi="仿宋_GB2312" w:eastAsia="仿宋_GB2312" w:cs="仿宋_GB2312"/>
                <w:b/>
                <w:bCs/>
                <w:sz w:val="20"/>
                <w:szCs w:val="20"/>
                <w:highlight w:val="none"/>
              </w:rPr>
              <w:t>年预算数</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b/>
                <w:bCs/>
                <w:sz w:val="20"/>
                <w:szCs w:val="20"/>
                <w:highlight w:val="none"/>
              </w:rPr>
            </w:pPr>
            <w:r>
              <w:rPr>
                <w:rFonts w:hint="eastAsia" w:ascii="仿宋_GB2312" w:hAnsi="仿宋_GB2312" w:eastAsia="仿宋_GB2312" w:cs="仿宋_GB2312"/>
                <w:b/>
                <w:bCs/>
                <w:sz w:val="20"/>
                <w:szCs w:val="20"/>
                <w:highlight w:val="none"/>
              </w:rPr>
              <w:t>202</w:t>
            </w:r>
            <w:r>
              <w:rPr>
                <w:rFonts w:hint="eastAsia" w:ascii="仿宋_GB2312" w:hAnsi="仿宋_GB2312" w:eastAsia="仿宋_GB2312" w:cs="仿宋_GB2312"/>
                <w:b/>
                <w:bCs/>
                <w:sz w:val="20"/>
                <w:szCs w:val="20"/>
                <w:highlight w:val="none"/>
                <w:lang w:val="en-US" w:eastAsia="zh-CN"/>
              </w:rPr>
              <w:t>3</w:t>
            </w:r>
            <w:r>
              <w:rPr>
                <w:rFonts w:hint="eastAsia" w:ascii="仿宋_GB2312" w:hAnsi="仿宋_GB2312" w:eastAsia="仿宋_GB2312" w:cs="仿宋_GB2312"/>
                <w:b/>
                <w:bCs/>
                <w:sz w:val="20"/>
                <w:szCs w:val="20"/>
                <w:highlight w:val="none"/>
              </w:rPr>
              <w:t>年决算数</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三公经费</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default"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rPr>
              <w:t>　</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xml:space="preserve">   1、公务用车购置和维护经费</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both"/>
              <w:rPr>
                <w:rFonts w:hint="eastAsia" w:ascii="仿宋_GB2312" w:hAnsi="仿宋_GB2312" w:eastAsia="仿宋_GB2312" w:cs="仿宋_GB2312"/>
                <w:sz w:val="20"/>
                <w:szCs w:val="20"/>
                <w:highlight w:val="none"/>
              </w:rPr>
            </w:pP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both"/>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xml:space="preserve">       其中：公车购置</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xml:space="preserve">             公车运行维护</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xml:space="preserve">   2、出国经费</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xml:space="preserve">   3、公务接待</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rPr>
              <w:t>　</w:t>
            </w:r>
            <w:r>
              <w:rPr>
                <w:rFonts w:hint="eastAsia" w:ascii="仿宋_GB2312" w:hAnsi="仿宋_GB2312" w:eastAsia="仿宋_GB2312" w:cs="仿宋_GB2312"/>
                <w:sz w:val="20"/>
                <w:szCs w:val="20"/>
                <w:highlight w:val="none"/>
                <w:lang w:val="en-US" w:eastAsia="zh-CN"/>
              </w:rPr>
              <w:t>0</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lang w:val="en-US" w:eastAsia="zh-CN"/>
              </w:rPr>
              <w:t>2万</w:t>
            </w:r>
            <w:r>
              <w:rPr>
                <w:rFonts w:hint="eastAsia" w:ascii="仿宋_GB2312" w:hAnsi="仿宋_GB2312" w:eastAsia="仿宋_GB2312" w:cs="仿宋_GB2312"/>
                <w:sz w:val="20"/>
                <w:szCs w:val="20"/>
                <w:highlight w:val="none"/>
              </w:rPr>
              <w:t>　</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lang w:val="en-US" w:eastAsia="zh-CN"/>
              </w:rPr>
              <w:t>0</w:t>
            </w:r>
            <w:r>
              <w:rPr>
                <w:rFonts w:hint="eastAsia" w:ascii="仿宋_GB2312" w:hAnsi="仿宋_GB2312" w:eastAsia="仿宋_GB2312" w:cs="仿宋_GB2312"/>
                <w:sz w:val="20"/>
                <w:szCs w:val="20"/>
                <w:highlight w:val="none"/>
              </w:rPr>
              <w:t>　</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项目支出：</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xml:space="preserve">    1、业务工作经费</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xml:space="preserve">    2、运行维护经费</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3、</w:t>
            </w:r>
            <w:r>
              <w:rPr>
                <w:rFonts w:hint="eastAsia" w:ascii="仿宋_GB2312" w:hAnsi="仿宋_GB2312" w:eastAsia="仿宋_GB2312" w:cs="仿宋_GB2312"/>
                <w:sz w:val="20"/>
                <w:szCs w:val="20"/>
                <w:highlight w:val="none"/>
                <w:lang w:eastAsia="zh-CN"/>
              </w:rPr>
              <w:t>市级</w:t>
            </w:r>
            <w:r>
              <w:rPr>
                <w:rFonts w:hint="eastAsia" w:ascii="仿宋_GB2312" w:hAnsi="仿宋_GB2312" w:eastAsia="仿宋_GB2312" w:cs="仿宋_GB2312"/>
                <w:sz w:val="20"/>
                <w:szCs w:val="20"/>
                <w:highlight w:val="none"/>
              </w:rPr>
              <w:t>专项资金（一个专项一行）</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w:t>
            </w:r>
          </w:p>
        </w:tc>
      </w:tr>
      <w:tr>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公用经费</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default"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173.51</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lang w:val="en-US" w:eastAsia="zh-CN"/>
              </w:rPr>
              <w:t>104.4</w:t>
            </w:r>
            <w:r>
              <w:rPr>
                <w:rFonts w:hint="eastAsia" w:ascii="仿宋_GB2312" w:hAnsi="仿宋_GB2312" w:eastAsia="仿宋_GB2312" w:cs="仿宋_GB2312"/>
                <w:sz w:val="20"/>
                <w:szCs w:val="20"/>
                <w:highlight w:val="none"/>
              </w:rPr>
              <w:t>　</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lang w:val="en-US" w:eastAsia="zh-CN"/>
              </w:rPr>
              <w:t>227.16</w:t>
            </w:r>
            <w:r>
              <w:rPr>
                <w:rFonts w:hint="eastAsia" w:ascii="仿宋_GB2312" w:hAnsi="仿宋_GB2312" w:eastAsia="仿宋_GB2312" w:cs="仿宋_GB2312"/>
                <w:sz w:val="20"/>
                <w:szCs w:val="20"/>
                <w:highlight w:val="none"/>
              </w:rPr>
              <w:t>　</w:t>
            </w:r>
          </w:p>
        </w:tc>
      </w:tr>
      <w:tr>
        <w:tblPrEx>
          <w:tblCellMar>
            <w:top w:w="0" w:type="dxa"/>
            <w:left w:w="108" w:type="dxa"/>
            <w:bottom w:w="0" w:type="dxa"/>
            <w:right w:w="108" w:type="dxa"/>
          </w:tblCellMar>
        </w:tblPrEx>
        <w:trPr>
          <w:trHeight w:val="9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xml:space="preserve">    其中：办公经费</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color w:val="FF0000"/>
                <w:sz w:val="20"/>
                <w:szCs w:val="20"/>
                <w:highlight w:val="none"/>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35.9</w:t>
            </w:r>
            <w:r>
              <w:rPr>
                <w:rFonts w:hint="eastAsia" w:ascii="仿宋_GB2312" w:hAnsi="仿宋_GB2312" w:eastAsia="仿宋_GB2312" w:cs="仿宋_GB2312"/>
                <w:color w:val="FF0000"/>
                <w:sz w:val="20"/>
                <w:szCs w:val="20"/>
                <w:highlight w:val="none"/>
              </w:rPr>
              <w:t>　</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color w:val="000000" w:themeColor="text1"/>
                <w:sz w:val="20"/>
                <w:szCs w:val="20"/>
                <w:highlight w:val="none"/>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30</w:t>
            </w:r>
            <w:r>
              <w:rPr>
                <w:rFonts w:hint="eastAsia" w:ascii="仿宋_GB2312" w:hAnsi="仿宋_GB2312" w:eastAsia="仿宋_GB2312" w:cs="仿宋_GB2312"/>
                <w:color w:val="000000" w:themeColor="text1"/>
                <w:sz w:val="20"/>
                <w:szCs w:val="20"/>
                <w:highlight w:val="none"/>
                <w14:textFill>
                  <w14:solidFill>
                    <w14:schemeClr w14:val="tx1"/>
                  </w14:solidFill>
                </w14:textFill>
              </w:rPr>
              <w:t>　</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default" w:ascii="仿宋_GB2312" w:hAnsi="仿宋_GB2312" w:eastAsia="仿宋_GB2312" w:cs="仿宋_GB2312"/>
                <w:color w:val="FF0000"/>
                <w:sz w:val="20"/>
                <w:szCs w:val="20"/>
                <w:highlight w:val="none"/>
                <w:lang w:val="en-US" w:eastAsia="zh-CN"/>
              </w:rPr>
            </w:pPr>
            <w:r>
              <w:rPr>
                <w:rFonts w:hint="eastAsia" w:ascii="仿宋_GB2312" w:hAnsi="仿宋_GB2312" w:eastAsia="仿宋_GB2312" w:cs="仿宋_GB2312"/>
                <w:color w:val="auto"/>
                <w:sz w:val="20"/>
                <w:szCs w:val="20"/>
                <w:highlight w:val="none"/>
                <w:lang w:val="en-US" w:eastAsia="zh-CN"/>
              </w:rPr>
              <w:t>3.38</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xml:space="preserve">          水费、电费、差旅费</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color w:val="FF0000"/>
                <w:sz w:val="20"/>
                <w:szCs w:val="20"/>
                <w:highlight w:val="none"/>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11.29</w:t>
            </w:r>
            <w:r>
              <w:rPr>
                <w:rFonts w:hint="eastAsia" w:ascii="仿宋_GB2312" w:hAnsi="仿宋_GB2312" w:eastAsia="仿宋_GB2312" w:cs="仿宋_GB2312"/>
                <w:color w:val="000000" w:themeColor="text1"/>
                <w:sz w:val="20"/>
                <w:szCs w:val="20"/>
                <w:highlight w:val="none"/>
                <w14:textFill>
                  <w14:solidFill>
                    <w14:schemeClr w14:val="tx1"/>
                  </w14:solidFill>
                </w14:textFill>
              </w:rPr>
              <w:t>　</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14:textFill>
                  <w14:solidFill>
                    <w14:schemeClr w14:val="tx1"/>
                  </w14:solidFill>
                </w14:textFill>
              </w:rPr>
              <w:t>　</w:t>
            </w: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2</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default" w:ascii="仿宋_GB2312" w:hAnsi="仿宋_GB2312" w:eastAsia="仿宋_GB2312" w:cs="仿宋_GB2312"/>
                <w:color w:val="FF0000"/>
                <w:sz w:val="20"/>
                <w:szCs w:val="20"/>
                <w:highlight w:val="none"/>
                <w:lang w:val="en-US" w:eastAsia="zh-CN"/>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12</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xml:space="preserve">          会议费、培训费</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color w:val="FF0000"/>
                <w:sz w:val="20"/>
                <w:szCs w:val="20"/>
                <w:highlight w:val="none"/>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1.58</w:t>
            </w:r>
            <w:r>
              <w:rPr>
                <w:rFonts w:hint="eastAsia" w:ascii="仿宋_GB2312" w:hAnsi="仿宋_GB2312" w:eastAsia="仿宋_GB2312" w:cs="仿宋_GB2312"/>
                <w:color w:val="000000" w:themeColor="text1"/>
                <w:sz w:val="20"/>
                <w:szCs w:val="20"/>
                <w:highlight w:val="none"/>
                <w14:textFill>
                  <w14:solidFill>
                    <w14:schemeClr w14:val="tx1"/>
                  </w14:solidFill>
                </w14:textFill>
              </w:rPr>
              <w:t>　</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color w:val="000000" w:themeColor="text1"/>
                <w:sz w:val="20"/>
                <w:szCs w:val="20"/>
                <w:highlight w:val="none"/>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1</w:t>
            </w:r>
            <w:r>
              <w:rPr>
                <w:rFonts w:hint="eastAsia" w:ascii="仿宋_GB2312" w:hAnsi="仿宋_GB2312" w:eastAsia="仿宋_GB2312" w:cs="仿宋_GB2312"/>
                <w:color w:val="000000" w:themeColor="text1"/>
                <w:sz w:val="20"/>
                <w:szCs w:val="20"/>
                <w:highlight w:val="none"/>
                <w14:textFill>
                  <w14:solidFill>
                    <w14:schemeClr w14:val="tx1"/>
                  </w14:solidFill>
                </w14:textFill>
              </w:rPr>
              <w:t>　</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color w:val="FF0000"/>
                <w:sz w:val="20"/>
                <w:szCs w:val="20"/>
                <w:highlight w:val="none"/>
              </w:rPr>
            </w:pPr>
            <w:r>
              <w:rPr>
                <w:rFonts w:hint="eastAsia" w:ascii="仿宋_GB2312" w:hAnsi="仿宋_GB2312" w:eastAsia="仿宋_GB2312" w:cs="仿宋_GB2312"/>
                <w:color w:val="auto"/>
                <w:sz w:val="20"/>
                <w:szCs w:val="20"/>
                <w:highlight w:val="none"/>
                <w:lang w:val="en-US" w:eastAsia="zh-CN"/>
              </w:rPr>
              <w:t>0.6</w:t>
            </w:r>
            <w:r>
              <w:rPr>
                <w:rFonts w:hint="eastAsia" w:ascii="仿宋_GB2312" w:hAnsi="仿宋_GB2312" w:eastAsia="仿宋_GB2312" w:cs="仿宋_GB2312"/>
                <w:color w:val="auto"/>
                <w:sz w:val="20"/>
                <w:szCs w:val="20"/>
                <w:highlight w:val="none"/>
              </w:rPr>
              <w:t>　</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政府采购金额</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xml:space="preserve">部门基本支出预算调整 </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w:t>
            </w:r>
          </w:p>
        </w:tc>
      </w:tr>
      <w:tr>
        <w:tblPrEx>
          <w:tblCellMar>
            <w:top w:w="0" w:type="dxa"/>
            <w:left w:w="108" w:type="dxa"/>
            <w:bottom w:w="0" w:type="dxa"/>
            <w:right w:w="108" w:type="dxa"/>
          </w:tblCellMar>
        </w:tblPrEx>
        <w:trPr>
          <w:trHeight w:val="0" w:hRule="atLeast"/>
          <w:jc w:val="center"/>
        </w:trPr>
        <w:tc>
          <w:tcPr>
            <w:tcW w:w="3354" w:type="dxa"/>
            <w:vMerge w:val="restart"/>
            <w:tcBorders>
              <w:top w:val="nil"/>
              <w:left w:val="single" w:color="auto" w:sz="4" w:space="0"/>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lang w:eastAsia="zh-CN"/>
              </w:rPr>
            </w:pPr>
            <w:r>
              <w:rPr>
                <w:rFonts w:hint="eastAsia" w:ascii="仿宋_GB2312" w:hAnsi="仿宋_GB2312" w:eastAsia="仿宋_GB2312" w:cs="仿宋_GB2312"/>
                <w:sz w:val="20"/>
                <w:szCs w:val="20"/>
                <w:highlight w:val="none"/>
              </w:rPr>
              <w:t>楼堂馆所控制情况</w:t>
            </w:r>
          </w:p>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（202</w:t>
            </w:r>
            <w:r>
              <w:rPr>
                <w:rFonts w:hint="eastAsia" w:ascii="仿宋_GB2312" w:hAnsi="仿宋_GB2312" w:eastAsia="仿宋_GB2312" w:cs="仿宋_GB2312"/>
                <w:sz w:val="20"/>
                <w:szCs w:val="20"/>
                <w:highlight w:val="none"/>
                <w:lang w:val="en-US" w:eastAsia="zh-CN"/>
              </w:rPr>
              <w:t>3</w:t>
            </w:r>
            <w:r>
              <w:rPr>
                <w:rFonts w:hint="eastAsia" w:ascii="仿宋_GB2312" w:hAnsi="仿宋_GB2312" w:eastAsia="仿宋_GB2312" w:cs="仿宋_GB2312"/>
                <w:sz w:val="20"/>
                <w:szCs w:val="20"/>
                <w:highlight w:val="none"/>
              </w:rPr>
              <w:t>年完工项目）</w:t>
            </w:r>
          </w:p>
        </w:tc>
        <w:tc>
          <w:tcPr>
            <w:tcW w:w="1189" w:type="dxa"/>
            <w:tcBorders>
              <w:top w:val="nil"/>
              <w:left w:val="nil"/>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bCs/>
                <w:sz w:val="20"/>
                <w:szCs w:val="20"/>
                <w:highlight w:val="none"/>
                <w:lang w:eastAsia="zh-CN"/>
              </w:rPr>
            </w:pPr>
            <w:r>
              <w:rPr>
                <w:rFonts w:hint="eastAsia" w:ascii="仿宋_GB2312" w:hAnsi="仿宋_GB2312" w:eastAsia="仿宋_GB2312" w:cs="仿宋_GB2312"/>
                <w:bCs/>
                <w:sz w:val="20"/>
                <w:szCs w:val="20"/>
                <w:highlight w:val="none"/>
              </w:rPr>
              <w:t>批复规模</w:t>
            </w:r>
          </w:p>
          <w:p>
            <w:pPr>
              <w:widowControl/>
              <w:spacing w:line="360" w:lineRule="exact"/>
              <w:jc w:val="center"/>
              <w:rPr>
                <w:rFonts w:hint="eastAsia" w:ascii="仿宋_GB2312" w:hAnsi="仿宋_GB2312" w:eastAsia="仿宋_GB2312" w:cs="仿宋_GB2312"/>
                <w:bCs/>
                <w:sz w:val="20"/>
                <w:szCs w:val="20"/>
                <w:highlight w:val="none"/>
              </w:rPr>
            </w:pPr>
            <w:r>
              <w:rPr>
                <w:rFonts w:hint="eastAsia" w:ascii="仿宋_GB2312" w:hAnsi="仿宋_GB2312" w:eastAsia="仿宋_GB2312" w:cs="仿宋_GB2312"/>
                <w:bCs/>
                <w:sz w:val="20"/>
                <w:szCs w:val="20"/>
                <w:highlight w:val="none"/>
              </w:rPr>
              <w:t>（㎡）</w:t>
            </w:r>
          </w:p>
        </w:tc>
        <w:tc>
          <w:tcPr>
            <w:tcW w:w="849" w:type="dxa"/>
            <w:tcBorders>
              <w:top w:val="nil"/>
              <w:left w:val="nil"/>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bCs/>
                <w:sz w:val="20"/>
                <w:szCs w:val="20"/>
                <w:highlight w:val="none"/>
              </w:rPr>
            </w:pPr>
            <w:r>
              <w:rPr>
                <w:rFonts w:hint="eastAsia" w:ascii="仿宋_GB2312" w:hAnsi="仿宋_GB2312" w:eastAsia="仿宋_GB2312" w:cs="仿宋_GB2312"/>
                <w:bCs/>
                <w:sz w:val="20"/>
                <w:szCs w:val="20"/>
                <w:highlight w:val="none"/>
              </w:rPr>
              <w:t>实际规模（㎡）</w:t>
            </w:r>
          </w:p>
        </w:tc>
        <w:tc>
          <w:tcPr>
            <w:tcW w:w="1129" w:type="dxa"/>
            <w:tcBorders>
              <w:top w:val="nil"/>
              <w:left w:val="nil"/>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bCs/>
                <w:sz w:val="20"/>
                <w:szCs w:val="20"/>
                <w:highlight w:val="none"/>
              </w:rPr>
            </w:pPr>
            <w:r>
              <w:rPr>
                <w:rFonts w:hint="eastAsia" w:ascii="仿宋_GB2312" w:hAnsi="仿宋_GB2312" w:eastAsia="仿宋_GB2312" w:cs="仿宋_GB2312"/>
                <w:bCs/>
                <w:sz w:val="20"/>
                <w:szCs w:val="20"/>
                <w:highlight w:val="none"/>
              </w:rPr>
              <w:t>规模控制率</w:t>
            </w:r>
          </w:p>
        </w:tc>
        <w:tc>
          <w:tcPr>
            <w:tcW w:w="1111" w:type="dxa"/>
            <w:tcBorders>
              <w:top w:val="nil"/>
              <w:left w:val="nil"/>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bCs/>
                <w:sz w:val="20"/>
                <w:szCs w:val="20"/>
                <w:highlight w:val="none"/>
              </w:rPr>
            </w:pPr>
            <w:r>
              <w:rPr>
                <w:rFonts w:hint="eastAsia" w:ascii="仿宋_GB2312" w:hAnsi="仿宋_GB2312" w:eastAsia="仿宋_GB2312" w:cs="仿宋_GB2312"/>
                <w:bCs/>
                <w:sz w:val="20"/>
                <w:szCs w:val="20"/>
                <w:highlight w:val="none"/>
              </w:rPr>
              <w:t>预算投资（万元）</w:t>
            </w:r>
          </w:p>
        </w:tc>
        <w:tc>
          <w:tcPr>
            <w:tcW w:w="1081" w:type="dxa"/>
            <w:tcBorders>
              <w:top w:val="nil"/>
              <w:left w:val="nil"/>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bCs/>
                <w:sz w:val="20"/>
                <w:szCs w:val="20"/>
                <w:highlight w:val="none"/>
              </w:rPr>
            </w:pPr>
            <w:r>
              <w:rPr>
                <w:rFonts w:hint="eastAsia" w:ascii="仿宋_GB2312" w:hAnsi="仿宋_GB2312" w:eastAsia="仿宋_GB2312" w:cs="仿宋_GB2312"/>
                <w:bCs/>
                <w:sz w:val="20"/>
                <w:szCs w:val="20"/>
                <w:highlight w:val="none"/>
              </w:rPr>
              <w:t>实际投资（万元）</w:t>
            </w:r>
          </w:p>
        </w:tc>
        <w:tc>
          <w:tcPr>
            <w:tcW w:w="960" w:type="dxa"/>
            <w:tcBorders>
              <w:top w:val="nil"/>
              <w:left w:val="nil"/>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bCs/>
                <w:sz w:val="20"/>
                <w:szCs w:val="20"/>
                <w:highlight w:val="none"/>
              </w:rPr>
            </w:pPr>
            <w:r>
              <w:rPr>
                <w:rFonts w:hint="eastAsia" w:ascii="仿宋_GB2312" w:hAnsi="仿宋_GB2312" w:eastAsia="仿宋_GB2312" w:cs="仿宋_GB2312"/>
                <w:bCs/>
                <w:sz w:val="20"/>
                <w:szCs w:val="20"/>
                <w:highlight w:val="none"/>
              </w:rPr>
              <w:t>投资概算控制率</w:t>
            </w:r>
          </w:p>
        </w:tc>
      </w:tr>
      <w:tr>
        <w:tblPrEx>
          <w:tblCellMar>
            <w:top w:w="0" w:type="dxa"/>
            <w:left w:w="108" w:type="dxa"/>
            <w:bottom w:w="0" w:type="dxa"/>
            <w:right w:w="108" w:type="dxa"/>
          </w:tblCellMar>
        </w:tblPrEx>
        <w:trPr>
          <w:trHeight w:val="0" w:hRule="atLeast"/>
          <w:jc w:val="center"/>
        </w:trPr>
        <w:tc>
          <w:tcPr>
            <w:tcW w:w="3354" w:type="dxa"/>
            <w:vMerge w:val="continue"/>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p>
        </w:tc>
        <w:tc>
          <w:tcPr>
            <w:tcW w:w="1189" w:type="dxa"/>
            <w:tcBorders>
              <w:top w:val="nil"/>
              <w:left w:val="nil"/>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w:t>
            </w:r>
          </w:p>
        </w:tc>
        <w:tc>
          <w:tcPr>
            <w:tcW w:w="849"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w:t>
            </w:r>
          </w:p>
        </w:tc>
        <w:tc>
          <w:tcPr>
            <w:tcW w:w="1129"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w:t>
            </w:r>
          </w:p>
        </w:tc>
        <w:tc>
          <w:tcPr>
            <w:tcW w:w="1111"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w:t>
            </w:r>
          </w:p>
        </w:tc>
        <w:tc>
          <w:tcPr>
            <w:tcW w:w="1081"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w:t>
            </w:r>
          </w:p>
        </w:tc>
        <w:tc>
          <w:tcPr>
            <w:tcW w:w="960"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厉行节约保障措施</w:t>
            </w:r>
          </w:p>
        </w:tc>
        <w:tc>
          <w:tcPr>
            <w:tcW w:w="6319" w:type="dxa"/>
            <w:gridSpan w:val="6"/>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w:t>
            </w:r>
          </w:p>
        </w:tc>
      </w:tr>
    </w:tbl>
    <w:p>
      <w:pPr>
        <w:widowControl/>
        <w:spacing w:afterLines="0" w:line="400" w:lineRule="exact"/>
        <w:jc w:val="left"/>
        <w:rPr>
          <w:rFonts w:hint="default" w:ascii="Times New Roman" w:hAnsi="Times New Roman" w:eastAsia="仿宋_GB2312" w:cs="Times New Roman"/>
          <w:sz w:val="22"/>
          <w:highlight w:val="none"/>
        </w:rPr>
      </w:pPr>
      <w:r>
        <w:rPr>
          <w:rFonts w:hint="default" w:ascii="Times New Roman" w:hAnsi="Times New Roman" w:eastAsia="仿宋_GB2312" w:cs="Times New Roman"/>
          <w:sz w:val="22"/>
          <w:highlight w:val="none"/>
        </w:rPr>
        <w:t>说明：“项目支出”需要填报基本支出以外的所有项目支出情况，“公用经费”填报基本支出中的一般商品和服务支出。</w:t>
      </w:r>
    </w:p>
    <w:p>
      <w:pPr>
        <w:widowControl/>
        <w:spacing w:afterLines="0" w:line="400" w:lineRule="exact"/>
        <w:jc w:val="left"/>
        <w:rPr>
          <w:rFonts w:hint="default" w:ascii="Times New Roman" w:hAnsi="Times New Roman" w:eastAsia="仿宋_GB2312" w:cs="Times New Roman"/>
          <w:sz w:val="22"/>
          <w:highlight w:val="none"/>
        </w:rPr>
      </w:pPr>
    </w:p>
    <w:p>
      <w:pPr>
        <w:widowControl/>
        <w:spacing w:after="0" w:afterLines="0" w:line="400" w:lineRule="exact"/>
        <w:jc w:val="left"/>
        <w:rPr>
          <w:rFonts w:hint="eastAsia" w:ascii="黑体" w:hAnsi="黑体" w:eastAsia="黑体" w:cs="黑体"/>
          <w:sz w:val="32"/>
          <w:szCs w:val="32"/>
          <w:highlight w:val="none"/>
          <w:lang w:eastAsia="zh-CN"/>
        </w:rPr>
      </w:pPr>
      <w:r>
        <w:rPr>
          <w:rFonts w:hint="default" w:ascii="Times New Roman" w:hAnsi="Times New Roman" w:eastAsia="仿宋_GB2312" w:cs="Times New Roman"/>
          <w:sz w:val="22"/>
          <w:highlight w:val="none"/>
        </w:rPr>
        <w:t>填表人：</w:t>
      </w:r>
      <w:r>
        <w:rPr>
          <w:rFonts w:hint="eastAsia" w:ascii="Times New Roman" w:hAnsi="Times New Roman" w:eastAsia="仿宋_GB2312" w:cs="Times New Roman"/>
          <w:sz w:val="22"/>
          <w:highlight w:val="none"/>
          <w:lang w:val="en-US" w:eastAsia="zh-CN"/>
        </w:rPr>
        <w:t>黄袁</w:t>
      </w:r>
      <w:r>
        <w:rPr>
          <w:rFonts w:hint="default" w:ascii="Times New Roman" w:hAnsi="Times New Roman" w:eastAsia="仿宋_GB2312" w:cs="Times New Roman"/>
          <w:sz w:val="22"/>
          <w:highlight w:val="none"/>
        </w:rPr>
        <w:t xml:space="preserve">  填报日期：</w:t>
      </w:r>
      <w:r>
        <w:rPr>
          <w:rFonts w:hint="eastAsia" w:ascii="Times New Roman" w:hAnsi="Times New Roman" w:eastAsia="仿宋_GB2312" w:cs="Times New Roman"/>
          <w:sz w:val="22"/>
          <w:highlight w:val="none"/>
          <w:lang w:val="en-US" w:eastAsia="zh-CN"/>
        </w:rPr>
        <w:t>2024.6.25</w:t>
      </w:r>
      <w:r>
        <w:rPr>
          <w:rFonts w:hint="default" w:ascii="Times New Roman" w:hAnsi="Times New Roman" w:eastAsia="仿宋_GB2312" w:cs="Times New Roman"/>
          <w:sz w:val="22"/>
          <w:highlight w:val="none"/>
        </w:rPr>
        <w:t xml:space="preserve"> 联系电话：</w:t>
      </w:r>
      <w:r>
        <w:rPr>
          <w:rFonts w:hint="eastAsia" w:ascii="Times New Roman" w:hAnsi="Times New Roman" w:eastAsia="仿宋_GB2312" w:cs="Times New Roman"/>
          <w:sz w:val="22"/>
          <w:highlight w:val="none"/>
          <w:lang w:val="en-US" w:eastAsia="zh-CN"/>
        </w:rPr>
        <w:t>13975088985</w:t>
      </w:r>
      <w:r>
        <w:rPr>
          <w:rFonts w:hint="default" w:ascii="Times New Roman" w:hAnsi="Times New Roman" w:eastAsia="仿宋_GB2312" w:cs="Times New Roman"/>
          <w:sz w:val="22"/>
          <w:highlight w:val="none"/>
        </w:rPr>
        <w:t>单位负责人签字：</w:t>
      </w:r>
      <w:r>
        <w:rPr>
          <w:rFonts w:hint="eastAsia" w:ascii="Times New Roman" w:hAnsi="Times New Roman" w:eastAsia="仿宋_GB2312" w:cs="Times New Roman"/>
          <w:sz w:val="22"/>
          <w:highlight w:val="none"/>
          <w:lang w:val="en-US" w:eastAsia="zh-CN"/>
        </w:rPr>
        <w:t>孙建光</w:t>
      </w:r>
      <w:r>
        <w:rPr>
          <w:rFonts w:hint="default" w:ascii="Times New Roman" w:hAnsi="Times New Roman" w:eastAsia="仿宋_GB2312" w:cs="Times New Roman"/>
          <w:sz w:val="22"/>
          <w:highlight w:val="none"/>
        </w:rPr>
        <w:br w:type="page"/>
      </w:r>
      <w:r>
        <w:rPr>
          <w:rFonts w:hint="eastAsia" w:ascii="黑体" w:hAnsi="黑体" w:eastAsia="黑体" w:cs="黑体"/>
          <w:sz w:val="32"/>
          <w:szCs w:val="32"/>
          <w:highlight w:val="none"/>
        </w:rPr>
        <w:t>附件</w:t>
      </w:r>
      <w:r>
        <w:rPr>
          <w:rFonts w:hint="eastAsia" w:ascii="黑体" w:hAnsi="黑体" w:eastAsia="黑体" w:cs="黑体"/>
          <w:sz w:val="32"/>
          <w:szCs w:val="32"/>
          <w:highlight w:val="none"/>
          <w:lang w:val="en-US" w:eastAsia="zh-CN"/>
        </w:rPr>
        <w:t>2</w:t>
      </w:r>
    </w:p>
    <w:p>
      <w:pPr>
        <w:widowControl/>
        <w:spacing w:after="120" w:afterLines="50"/>
        <w:jc w:val="center"/>
        <w:rPr>
          <w:rFonts w:hint="eastAsia" w:ascii="方正小标宋简体" w:hAnsi="方正小标宋简体" w:eastAsia="方正小标宋简体" w:cs="方正小标宋简体"/>
          <w:color w:val="000000"/>
          <w:sz w:val="36"/>
          <w:szCs w:val="36"/>
          <w:highlight w:val="none"/>
        </w:rPr>
      </w:pPr>
      <w:r>
        <w:rPr>
          <w:rFonts w:hint="eastAsia" w:ascii="方正小标宋简体" w:hAnsi="方正小标宋简体" w:eastAsia="方正小标宋简体" w:cs="方正小标宋简体"/>
          <w:color w:val="000000"/>
          <w:sz w:val="36"/>
          <w:szCs w:val="36"/>
          <w:highlight w:val="none"/>
        </w:rPr>
        <w:t>202</w:t>
      </w:r>
      <w:r>
        <w:rPr>
          <w:rFonts w:hint="eastAsia" w:ascii="方正小标宋简体" w:hAnsi="方正小标宋简体" w:eastAsia="方正小标宋简体" w:cs="方正小标宋简体"/>
          <w:color w:val="000000"/>
          <w:sz w:val="36"/>
          <w:szCs w:val="36"/>
          <w:highlight w:val="none"/>
          <w:lang w:val="en-US" w:eastAsia="zh-CN"/>
        </w:rPr>
        <w:t>3</w:t>
      </w:r>
      <w:r>
        <w:rPr>
          <w:rFonts w:hint="eastAsia" w:ascii="方正小标宋简体" w:hAnsi="方正小标宋简体" w:eastAsia="方正小标宋简体" w:cs="方正小标宋简体"/>
          <w:color w:val="000000"/>
          <w:sz w:val="36"/>
          <w:szCs w:val="36"/>
          <w:highlight w:val="none"/>
        </w:rPr>
        <w:t>年度部门整体支出绩效自评表</w:t>
      </w:r>
    </w:p>
    <w:tbl>
      <w:tblPr>
        <w:tblStyle w:val="3"/>
        <w:tblW w:w="10079" w:type="dxa"/>
        <w:jc w:val="center"/>
        <w:tblLayout w:type="autofit"/>
        <w:tblCellMar>
          <w:top w:w="0" w:type="dxa"/>
          <w:left w:w="108" w:type="dxa"/>
          <w:bottom w:w="0" w:type="dxa"/>
          <w:right w:w="108" w:type="dxa"/>
        </w:tblCellMar>
      </w:tblPr>
      <w:tblGrid>
        <w:gridCol w:w="1080"/>
        <w:gridCol w:w="1080"/>
        <w:gridCol w:w="1034"/>
        <w:gridCol w:w="1270"/>
        <w:gridCol w:w="1311"/>
        <w:gridCol w:w="1269"/>
        <w:gridCol w:w="716"/>
        <w:gridCol w:w="873"/>
        <w:gridCol w:w="1446"/>
      </w:tblGrid>
      <w:tr>
        <w:tblPrEx>
          <w:tblCellMar>
            <w:top w:w="0" w:type="dxa"/>
            <w:left w:w="108" w:type="dxa"/>
            <w:bottom w:w="0" w:type="dxa"/>
            <w:right w:w="108" w:type="dxa"/>
          </w:tblCellMar>
        </w:tblPrEx>
        <w:trPr>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eastAsia="zh-CN"/>
              </w:rPr>
              <w:t>市</w:t>
            </w:r>
            <w:r>
              <w:rPr>
                <w:rFonts w:hint="eastAsia" w:ascii="仿宋_GB2312" w:hAnsi="仿宋_GB2312" w:eastAsia="仿宋_GB2312" w:cs="仿宋_GB2312"/>
                <w:color w:val="000000"/>
                <w:sz w:val="20"/>
                <w:szCs w:val="20"/>
                <w:highlight w:val="none"/>
              </w:rPr>
              <w:t>级预算部门名称</w:t>
            </w:r>
          </w:p>
        </w:tc>
        <w:tc>
          <w:tcPr>
            <w:tcW w:w="8999" w:type="dxa"/>
            <w:gridSpan w:val="8"/>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val="en-US" w:eastAsia="zh-CN"/>
              </w:rPr>
              <w:t>岳阳市君山区交通运输综合行政执法大队</w:t>
            </w: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restart"/>
            <w:tcBorders>
              <w:top w:val="nil"/>
              <w:left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年度预</w:t>
            </w:r>
          </w:p>
          <w:p>
            <w:pPr>
              <w:widowControl/>
              <w:spacing w:line="240" w:lineRule="exact"/>
              <w:jc w:val="center"/>
              <w:rPr>
                <w:rFonts w:hint="eastAsia" w:ascii="仿宋_GB2312" w:hAnsi="仿宋_GB2312" w:eastAsia="仿宋_GB2312" w:cs="仿宋_GB2312"/>
                <w:color w:val="000000"/>
                <w:sz w:val="20"/>
                <w:szCs w:val="20"/>
                <w:highlight w:val="none"/>
                <w:lang w:eastAsia="zh-CN"/>
              </w:rPr>
            </w:pPr>
            <w:r>
              <w:rPr>
                <w:rFonts w:hint="eastAsia" w:ascii="仿宋_GB2312" w:hAnsi="仿宋_GB2312" w:eastAsia="仿宋_GB2312" w:cs="仿宋_GB2312"/>
                <w:color w:val="000000"/>
                <w:sz w:val="20"/>
                <w:szCs w:val="20"/>
                <w:highlight w:val="none"/>
              </w:rPr>
              <w:t>算申请</w:t>
            </w:r>
          </w:p>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（万元）</w:t>
            </w:r>
          </w:p>
        </w:tc>
        <w:tc>
          <w:tcPr>
            <w:tcW w:w="2114" w:type="dxa"/>
            <w:gridSpan w:val="2"/>
            <w:tcBorders>
              <w:top w:val="nil"/>
              <w:left w:val="nil"/>
              <w:bottom w:val="single" w:color="auto" w:sz="4" w:space="0"/>
              <w:right w:val="single" w:color="auto" w:sz="4" w:space="0"/>
            </w:tcBorders>
            <w:noWrap w:val="0"/>
            <w:vAlign w:val="center"/>
          </w:tcPr>
          <w:p>
            <w:pPr>
              <w:spacing w:line="240" w:lineRule="exact"/>
              <w:jc w:val="center"/>
              <w:rPr>
                <w:rFonts w:hint="eastAsia" w:ascii="仿宋_GB2312" w:hAnsi="仿宋_GB2312" w:eastAsia="仿宋_GB2312" w:cs="仿宋_GB2312"/>
                <w:sz w:val="20"/>
                <w:szCs w:val="20"/>
                <w:highlight w:val="none"/>
              </w:rPr>
            </w:pPr>
          </w:p>
        </w:tc>
        <w:tc>
          <w:tcPr>
            <w:tcW w:w="1270" w:type="dxa"/>
            <w:tcBorders>
              <w:top w:val="nil"/>
              <w:left w:val="nil"/>
              <w:bottom w:val="single" w:color="auto" w:sz="4" w:space="0"/>
              <w:right w:val="single" w:color="auto" w:sz="4" w:space="0"/>
            </w:tcBorders>
            <w:noWrap w:val="0"/>
            <w:vAlign w:val="center"/>
          </w:tcPr>
          <w:p>
            <w:pPr>
              <w:spacing w:line="24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年初预算数</w:t>
            </w:r>
          </w:p>
        </w:tc>
        <w:tc>
          <w:tcPr>
            <w:tcW w:w="1311" w:type="dxa"/>
            <w:tcBorders>
              <w:top w:val="nil"/>
              <w:left w:val="nil"/>
              <w:bottom w:val="single" w:color="auto" w:sz="4" w:space="0"/>
              <w:right w:val="single" w:color="auto" w:sz="4" w:space="0"/>
            </w:tcBorders>
            <w:noWrap w:val="0"/>
            <w:vAlign w:val="center"/>
          </w:tcPr>
          <w:p>
            <w:pPr>
              <w:spacing w:line="24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全年预算数</w:t>
            </w:r>
          </w:p>
        </w:tc>
        <w:tc>
          <w:tcPr>
            <w:tcW w:w="1269" w:type="dxa"/>
            <w:tcBorders>
              <w:top w:val="nil"/>
              <w:left w:val="nil"/>
              <w:bottom w:val="single" w:color="auto" w:sz="4" w:space="0"/>
              <w:right w:val="single" w:color="auto" w:sz="4" w:space="0"/>
            </w:tcBorders>
            <w:noWrap w:val="0"/>
            <w:vAlign w:val="center"/>
          </w:tcPr>
          <w:p>
            <w:pPr>
              <w:spacing w:line="24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全年执行数</w:t>
            </w:r>
          </w:p>
        </w:tc>
        <w:tc>
          <w:tcPr>
            <w:tcW w:w="716" w:type="dxa"/>
            <w:tcBorders>
              <w:top w:val="nil"/>
              <w:left w:val="nil"/>
              <w:bottom w:val="single" w:color="auto" w:sz="4" w:space="0"/>
              <w:right w:val="single" w:color="auto" w:sz="4" w:space="0"/>
            </w:tcBorders>
            <w:noWrap w:val="0"/>
            <w:vAlign w:val="center"/>
          </w:tcPr>
          <w:p>
            <w:pPr>
              <w:spacing w:line="24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分值</w:t>
            </w:r>
          </w:p>
        </w:tc>
        <w:tc>
          <w:tcPr>
            <w:tcW w:w="873" w:type="dxa"/>
            <w:tcBorders>
              <w:top w:val="nil"/>
              <w:left w:val="nil"/>
              <w:bottom w:val="single" w:color="auto" w:sz="4" w:space="0"/>
              <w:right w:val="single" w:color="auto" w:sz="4" w:space="0"/>
            </w:tcBorders>
            <w:noWrap w:val="0"/>
            <w:vAlign w:val="center"/>
          </w:tcPr>
          <w:p>
            <w:pPr>
              <w:spacing w:line="24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执行率</w:t>
            </w:r>
          </w:p>
        </w:tc>
        <w:tc>
          <w:tcPr>
            <w:tcW w:w="1446" w:type="dxa"/>
            <w:tcBorders>
              <w:top w:val="nil"/>
              <w:left w:val="nil"/>
              <w:bottom w:val="single" w:color="auto" w:sz="4" w:space="0"/>
              <w:right w:val="single" w:color="auto" w:sz="4" w:space="0"/>
            </w:tcBorders>
            <w:noWrap w:val="0"/>
            <w:vAlign w:val="center"/>
          </w:tcPr>
          <w:p>
            <w:pPr>
              <w:spacing w:line="24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得分</w:t>
            </w:r>
          </w:p>
        </w:tc>
      </w:tr>
      <w:tr>
        <w:tblPrEx>
          <w:tblCellMar>
            <w:top w:w="0" w:type="dxa"/>
            <w:left w:w="108" w:type="dxa"/>
            <w:bottom w:w="0" w:type="dxa"/>
            <w:right w:w="108" w:type="dxa"/>
          </w:tblCellMar>
        </w:tblPrEx>
        <w:trPr>
          <w:jc w:val="center"/>
        </w:trPr>
        <w:tc>
          <w:tcPr>
            <w:tcW w:w="1080" w:type="dxa"/>
            <w:vMerge w:val="continue"/>
            <w:tcBorders>
              <w:top w:val="nil"/>
              <w:left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p>
        </w:tc>
        <w:tc>
          <w:tcPr>
            <w:tcW w:w="2114" w:type="dxa"/>
            <w:gridSpan w:val="2"/>
            <w:tcBorders>
              <w:top w:val="nil"/>
              <w:left w:val="nil"/>
              <w:bottom w:val="single" w:color="auto" w:sz="4" w:space="0"/>
              <w:right w:val="single" w:color="auto" w:sz="4" w:space="0"/>
            </w:tcBorders>
            <w:noWrap w:val="0"/>
            <w:vAlign w:val="center"/>
          </w:tcPr>
          <w:p>
            <w:pPr>
              <w:spacing w:line="24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color w:val="000000"/>
                <w:sz w:val="20"/>
                <w:szCs w:val="20"/>
                <w:highlight w:val="none"/>
              </w:rPr>
              <w:t>年度资金总额</w:t>
            </w:r>
          </w:p>
        </w:tc>
        <w:tc>
          <w:tcPr>
            <w:tcW w:w="1270" w:type="dxa"/>
            <w:tcBorders>
              <w:top w:val="nil"/>
              <w:left w:val="nil"/>
              <w:bottom w:val="single" w:color="auto" w:sz="4" w:space="0"/>
              <w:right w:val="single" w:color="auto" w:sz="4" w:space="0"/>
            </w:tcBorders>
            <w:noWrap w:val="0"/>
            <w:vAlign w:val="center"/>
          </w:tcPr>
          <w:p>
            <w:pPr>
              <w:spacing w:line="240" w:lineRule="exact"/>
              <w:jc w:val="center"/>
              <w:rPr>
                <w:rFonts w:hint="default"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1319.3</w:t>
            </w:r>
          </w:p>
        </w:tc>
        <w:tc>
          <w:tcPr>
            <w:tcW w:w="1311" w:type="dxa"/>
            <w:tcBorders>
              <w:top w:val="nil"/>
              <w:left w:val="nil"/>
              <w:bottom w:val="single" w:color="auto" w:sz="4" w:space="0"/>
              <w:right w:val="single" w:color="auto" w:sz="4" w:space="0"/>
            </w:tcBorders>
            <w:noWrap w:val="0"/>
            <w:vAlign w:val="center"/>
          </w:tcPr>
          <w:p>
            <w:pPr>
              <w:spacing w:line="240" w:lineRule="exact"/>
              <w:jc w:val="center"/>
              <w:rPr>
                <w:rFonts w:hint="default"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1614.25</w:t>
            </w:r>
          </w:p>
        </w:tc>
        <w:tc>
          <w:tcPr>
            <w:tcW w:w="1269" w:type="dxa"/>
            <w:tcBorders>
              <w:top w:val="nil"/>
              <w:left w:val="nil"/>
              <w:bottom w:val="single" w:color="auto" w:sz="4" w:space="0"/>
              <w:right w:val="single" w:color="auto" w:sz="4" w:space="0"/>
            </w:tcBorders>
            <w:noWrap w:val="0"/>
            <w:vAlign w:val="center"/>
          </w:tcPr>
          <w:p>
            <w:pPr>
              <w:spacing w:line="240" w:lineRule="exact"/>
              <w:jc w:val="center"/>
              <w:rPr>
                <w:rFonts w:hint="default"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1607.85</w:t>
            </w:r>
          </w:p>
        </w:tc>
        <w:tc>
          <w:tcPr>
            <w:tcW w:w="716" w:type="dxa"/>
            <w:tcBorders>
              <w:top w:val="nil"/>
              <w:left w:val="nil"/>
              <w:bottom w:val="single" w:color="auto" w:sz="4" w:space="0"/>
              <w:right w:val="single" w:color="auto" w:sz="4" w:space="0"/>
            </w:tcBorders>
            <w:noWrap w:val="0"/>
            <w:vAlign w:val="center"/>
          </w:tcPr>
          <w:p>
            <w:pPr>
              <w:spacing w:line="24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10</w:t>
            </w:r>
          </w:p>
        </w:tc>
        <w:tc>
          <w:tcPr>
            <w:tcW w:w="873" w:type="dxa"/>
            <w:tcBorders>
              <w:top w:val="nil"/>
              <w:left w:val="nil"/>
              <w:bottom w:val="single" w:color="auto" w:sz="4" w:space="0"/>
              <w:right w:val="single" w:color="auto" w:sz="4" w:space="0"/>
            </w:tcBorders>
            <w:noWrap w:val="0"/>
            <w:vAlign w:val="center"/>
          </w:tcPr>
          <w:p>
            <w:pPr>
              <w:spacing w:line="240" w:lineRule="exact"/>
              <w:jc w:val="center"/>
              <w:rPr>
                <w:rFonts w:hint="default"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99.6%</w:t>
            </w:r>
          </w:p>
        </w:tc>
        <w:tc>
          <w:tcPr>
            <w:tcW w:w="1446" w:type="dxa"/>
            <w:tcBorders>
              <w:top w:val="nil"/>
              <w:left w:val="nil"/>
              <w:bottom w:val="single" w:color="auto" w:sz="4" w:space="0"/>
              <w:right w:val="single" w:color="auto" w:sz="4" w:space="0"/>
            </w:tcBorders>
            <w:noWrap w:val="0"/>
            <w:vAlign w:val="center"/>
          </w:tcPr>
          <w:p>
            <w:pPr>
              <w:spacing w:line="240" w:lineRule="exact"/>
              <w:jc w:val="center"/>
              <w:rPr>
                <w:rFonts w:hint="eastAsia"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9</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p>
        </w:tc>
        <w:tc>
          <w:tcPr>
            <w:tcW w:w="4695" w:type="dxa"/>
            <w:gridSpan w:val="4"/>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按收入性质分：</w:t>
            </w:r>
          </w:p>
        </w:tc>
        <w:tc>
          <w:tcPr>
            <w:tcW w:w="4304" w:type="dxa"/>
            <w:gridSpan w:val="4"/>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按支出性质分：</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p>
        </w:tc>
        <w:tc>
          <w:tcPr>
            <w:tcW w:w="4695" w:type="dxa"/>
            <w:gridSpan w:val="4"/>
            <w:tcBorders>
              <w:top w:val="nil"/>
              <w:left w:val="nil"/>
              <w:bottom w:val="single" w:color="auto" w:sz="4" w:space="0"/>
              <w:right w:val="single" w:color="auto" w:sz="4" w:space="0"/>
            </w:tcBorders>
            <w:noWrap w:val="0"/>
            <w:vAlign w:val="center"/>
          </w:tcPr>
          <w:p>
            <w:pPr>
              <w:widowControl/>
              <w:spacing w:line="240" w:lineRule="exact"/>
              <w:jc w:val="left"/>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xml:space="preserve">  其中：  一般公共预算：</w:t>
            </w:r>
            <w:r>
              <w:rPr>
                <w:rFonts w:hint="eastAsia" w:ascii="仿宋_GB2312" w:hAnsi="仿宋_GB2312" w:eastAsia="仿宋_GB2312" w:cs="仿宋_GB2312"/>
                <w:color w:val="000000"/>
                <w:sz w:val="20"/>
                <w:szCs w:val="20"/>
                <w:highlight w:val="none"/>
                <w:lang w:val="en-US" w:eastAsia="zh-CN"/>
              </w:rPr>
              <w:t>1319.3</w:t>
            </w:r>
          </w:p>
        </w:tc>
        <w:tc>
          <w:tcPr>
            <w:tcW w:w="4304" w:type="dxa"/>
            <w:gridSpan w:val="4"/>
            <w:tcBorders>
              <w:top w:val="nil"/>
              <w:left w:val="nil"/>
              <w:bottom w:val="single" w:color="auto" w:sz="4" w:space="0"/>
              <w:right w:val="single" w:color="auto" w:sz="4" w:space="0"/>
            </w:tcBorders>
            <w:noWrap w:val="0"/>
            <w:vAlign w:val="center"/>
          </w:tcPr>
          <w:p>
            <w:pPr>
              <w:widowControl/>
              <w:spacing w:line="240" w:lineRule="exact"/>
              <w:jc w:val="left"/>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其中：基本支出：</w:t>
            </w:r>
            <w:r>
              <w:rPr>
                <w:rFonts w:hint="eastAsia" w:ascii="仿宋_GB2312" w:hAnsi="仿宋_GB2312" w:eastAsia="仿宋_GB2312" w:cs="仿宋_GB2312"/>
                <w:color w:val="000000"/>
                <w:sz w:val="20"/>
                <w:szCs w:val="20"/>
                <w:highlight w:val="none"/>
                <w:lang w:val="en-US" w:eastAsia="zh-CN"/>
              </w:rPr>
              <w:t>1607.85</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p>
        </w:tc>
        <w:tc>
          <w:tcPr>
            <w:tcW w:w="4695" w:type="dxa"/>
            <w:gridSpan w:val="4"/>
            <w:tcBorders>
              <w:top w:val="nil"/>
              <w:left w:val="nil"/>
              <w:bottom w:val="single" w:color="auto" w:sz="4" w:space="0"/>
              <w:right w:val="single" w:color="auto" w:sz="4" w:space="0"/>
            </w:tcBorders>
            <w:noWrap w:val="0"/>
            <w:vAlign w:val="center"/>
          </w:tcPr>
          <w:p>
            <w:pPr>
              <w:widowControl/>
              <w:spacing w:line="240" w:lineRule="exact"/>
              <w:ind w:firstLine="800" w:firstLineChars="400"/>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政府性基金拨款：</w:t>
            </w:r>
          </w:p>
        </w:tc>
        <w:tc>
          <w:tcPr>
            <w:tcW w:w="4304" w:type="dxa"/>
            <w:gridSpan w:val="4"/>
            <w:tcBorders>
              <w:top w:val="nil"/>
              <w:left w:val="nil"/>
              <w:bottom w:val="single" w:color="auto" w:sz="4" w:space="0"/>
              <w:right w:val="single" w:color="auto" w:sz="4" w:space="0"/>
            </w:tcBorders>
            <w:noWrap w:val="0"/>
            <w:vAlign w:val="center"/>
          </w:tcPr>
          <w:p>
            <w:pPr>
              <w:widowControl/>
              <w:spacing w:line="240" w:lineRule="exact"/>
              <w:ind w:firstLine="600" w:firstLineChars="300"/>
              <w:jc w:val="left"/>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项目支出：</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p>
        </w:tc>
        <w:tc>
          <w:tcPr>
            <w:tcW w:w="4695" w:type="dxa"/>
            <w:gridSpan w:val="4"/>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纳入专户管理的非税收入拨款：</w:t>
            </w:r>
          </w:p>
        </w:tc>
        <w:tc>
          <w:tcPr>
            <w:tcW w:w="4304" w:type="dxa"/>
            <w:gridSpan w:val="4"/>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p>
        </w:tc>
      </w:tr>
      <w:tr>
        <w:tblPrEx>
          <w:tblCellMar>
            <w:top w:w="0" w:type="dxa"/>
            <w:left w:w="108" w:type="dxa"/>
            <w:bottom w:w="0" w:type="dxa"/>
            <w:right w:w="108" w:type="dxa"/>
          </w:tblCellMar>
        </w:tblPrEx>
        <w:trPr>
          <w:jc w:val="center"/>
        </w:trPr>
        <w:tc>
          <w:tcPr>
            <w:tcW w:w="1080" w:type="dxa"/>
            <w:vMerge w:val="continue"/>
            <w:tcBorders>
              <w:left w:val="single" w:color="auto" w:sz="4" w:space="0"/>
              <w:bottom w:val="single" w:color="000000"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p>
        </w:tc>
        <w:tc>
          <w:tcPr>
            <w:tcW w:w="4695" w:type="dxa"/>
            <w:gridSpan w:val="4"/>
            <w:tcBorders>
              <w:top w:val="nil"/>
              <w:left w:val="nil"/>
              <w:bottom w:val="single" w:color="auto" w:sz="4" w:space="0"/>
              <w:right w:val="single" w:color="auto" w:sz="4" w:space="0"/>
            </w:tcBorders>
            <w:noWrap w:val="0"/>
            <w:vAlign w:val="center"/>
          </w:tcPr>
          <w:p>
            <w:pPr>
              <w:widowControl/>
              <w:spacing w:line="240" w:lineRule="exact"/>
              <w:ind w:firstLine="1400" w:firstLineChars="700"/>
              <w:jc w:val="left"/>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其他资金：</w:t>
            </w:r>
            <w:r>
              <w:rPr>
                <w:rFonts w:hint="eastAsia" w:ascii="仿宋_GB2312" w:hAnsi="仿宋_GB2312" w:eastAsia="仿宋_GB2312" w:cs="仿宋_GB2312"/>
                <w:color w:val="000000"/>
                <w:sz w:val="20"/>
                <w:szCs w:val="20"/>
                <w:highlight w:val="none"/>
                <w:lang w:val="en-US" w:eastAsia="zh-CN"/>
              </w:rPr>
              <w:t>25.64</w:t>
            </w:r>
          </w:p>
        </w:tc>
        <w:tc>
          <w:tcPr>
            <w:tcW w:w="4304" w:type="dxa"/>
            <w:gridSpan w:val="4"/>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p>
        </w:tc>
      </w:tr>
      <w:tr>
        <w:tblPrEx>
          <w:tblCellMar>
            <w:top w:w="0" w:type="dxa"/>
            <w:left w:w="108" w:type="dxa"/>
            <w:bottom w:w="0" w:type="dxa"/>
            <w:right w:w="108" w:type="dxa"/>
          </w:tblCellMar>
        </w:tblPrEx>
        <w:trPr>
          <w:jc w:val="center"/>
        </w:trPr>
        <w:tc>
          <w:tcPr>
            <w:tcW w:w="1080" w:type="dxa"/>
            <w:vMerge w:val="restart"/>
            <w:tcBorders>
              <w:top w:val="nil"/>
              <w:left w:val="single" w:color="auto" w:sz="4" w:space="0"/>
              <w:bottom w:val="single" w:color="000000"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年度总体目标</w:t>
            </w:r>
          </w:p>
        </w:tc>
        <w:tc>
          <w:tcPr>
            <w:tcW w:w="4695" w:type="dxa"/>
            <w:gridSpan w:val="4"/>
            <w:tcBorders>
              <w:top w:val="single" w:color="auto" w:sz="4" w:space="0"/>
              <w:left w:val="nil"/>
              <w:bottom w:val="single" w:color="auto" w:sz="4" w:space="0"/>
              <w:right w:val="single" w:color="000000"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预期目标</w:t>
            </w:r>
          </w:p>
        </w:tc>
        <w:tc>
          <w:tcPr>
            <w:tcW w:w="4304" w:type="dxa"/>
            <w:gridSpan w:val="4"/>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实际完成情况　</w:t>
            </w:r>
          </w:p>
        </w:tc>
      </w:tr>
      <w:tr>
        <w:tblPrEx>
          <w:tblCellMar>
            <w:top w:w="0" w:type="dxa"/>
            <w:left w:w="108" w:type="dxa"/>
            <w:bottom w:w="0" w:type="dxa"/>
            <w:right w:w="108" w:type="dxa"/>
          </w:tblCellMar>
        </w:tblPrEx>
        <w:trPr>
          <w:jc w:val="center"/>
        </w:trPr>
        <w:tc>
          <w:tcPr>
            <w:tcW w:w="1080" w:type="dxa"/>
            <w:vMerge w:val="continue"/>
            <w:tcBorders>
              <w:top w:val="nil"/>
              <w:left w:val="single" w:color="auto" w:sz="4" w:space="0"/>
              <w:bottom w:val="single" w:color="000000"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p>
        </w:tc>
        <w:tc>
          <w:tcPr>
            <w:tcW w:w="4695" w:type="dxa"/>
            <w:gridSpan w:val="4"/>
            <w:tcBorders>
              <w:top w:val="single" w:color="auto" w:sz="4" w:space="0"/>
              <w:left w:val="nil"/>
              <w:bottom w:val="single" w:color="auto" w:sz="4" w:space="0"/>
              <w:right w:val="single" w:color="000000"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4304" w:type="dxa"/>
            <w:gridSpan w:val="4"/>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restart"/>
            <w:tcBorders>
              <w:top w:val="nil"/>
              <w:left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绩</w:t>
            </w:r>
          </w:p>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效</w:t>
            </w:r>
          </w:p>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指</w:t>
            </w:r>
          </w:p>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标</w:t>
            </w:r>
          </w:p>
          <w:p>
            <w:pPr>
              <w:widowControl/>
              <w:spacing w:line="240" w:lineRule="exact"/>
              <w:jc w:val="center"/>
              <w:rPr>
                <w:rFonts w:hint="eastAsia" w:ascii="仿宋_GB2312" w:hAnsi="仿宋_GB2312" w:eastAsia="仿宋_GB2312" w:cs="仿宋_GB2312"/>
                <w:color w:val="000000"/>
                <w:sz w:val="20"/>
                <w:szCs w:val="20"/>
                <w:highlight w:val="none"/>
              </w:rPr>
            </w:pPr>
          </w:p>
        </w:tc>
        <w:tc>
          <w:tcPr>
            <w:tcW w:w="1080"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一级指标</w:t>
            </w:r>
          </w:p>
        </w:tc>
        <w:tc>
          <w:tcPr>
            <w:tcW w:w="1034"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二级指标</w:t>
            </w:r>
          </w:p>
        </w:tc>
        <w:tc>
          <w:tcPr>
            <w:tcW w:w="1270"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三级指标</w:t>
            </w:r>
          </w:p>
        </w:tc>
        <w:tc>
          <w:tcPr>
            <w:tcW w:w="1311" w:type="dxa"/>
            <w:tcBorders>
              <w:top w:val="nil"/>
              <w:left w:val="nil"/>
              <w:bottom w:val="single" w:color="auto" w:sz="4" w:space="0"/>
              <w:right w:val="single" w:color="auto" w:sz="4" w:space="0"/>
            </w:tcBorders>
            <w:noWrap w:val="0"/>
            <w:vAlign w:val="center"/>
          </w:tcPr>
          <w:p>
            <w:pPr>
              <w:widowControl/>
              <w:spacing w:line="240" w:lineRule="exact"/>
              <w:jc w:val="both"/>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年度指标值</w:t>
            </w:r>
          </w:p>
        </w:tc>
        <w:tc>
          <w:tcPr>
            <w:tcW w:w="1269" w:type="dxa"/>
            <w:tcBorders>
              <w:top w:val="nil"/>
              <w:left w:val="nil"/>
              <w:bottom w:val="single" w:color="auto" w:sz="4" w:space="0"/>
              <w:right w:val="single" w:color="auto" w:sz="4" w:space="0"/>
            </w:tcBorders>
            <w:noWrap w:val="0"/>
            <w:vAlign w:val="center"/>
          </w:tcPr>
          <w:p>
            <w:pPr>
              <w:widowControl/>
              <w:spacing w:line="240" w:lineRule="exac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实际完成值</w:t>
            </w:r>
          </w:p>
        </w:tc>
        <w:tc>
          <w:tcPr>
            <w:tcW w:w="716"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分值</w:t>
            </w:r>
          </w:p>
        </w:tc>
        <w:tc>
          <w:tcPr>
            <w:tcW w:w="873"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得分</w:t>
            </w:r>
          </w:p>
        </w:tc>
        <w:tc>
          <w:tcPr>
            <w:tcW w:w="1446" w:type="dxa"/>
            <w:tcBorders>
              <w:top w:val="nil"/>
              <w:left w:val="nil"/>
              <w:bottom w:val="single" w:color="auto" w:sz="4" w:space="0"/>
              <w:right w:val="single" w:color="auto" w:sz="4" w:space="0"/>
            </w:tcBorders>
            <w:noWrap w:val="0"/>
            <w:vAlign w:val="center"/>
          </w:tcPr>
          <w:p>
            <w:pPr>
              <w:widowControl/>
              <w:spacing w:line="240" w:lineRule="exact"/>
              <w:jc w:val="both"/>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偏差原因分析及改进措施</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产出指标</w:t>
            </w:r>
          </w:p>
          <w:p>
            <w:pPr>
              <w:widowControl/>
              <w:spacing w:line="240" w:lineRule="exact"/>
              <w:jc w:val="center"/>
              <w:rPr>
                <w:rFonts w:hint="eastAsia" w:ascii="仿宋_GB2312" w:hAnsi="仿宋_GB2312" w:eastAsia="仿宋_GB2312" w:cs="仿宋_GB2312"/>
                <w:color w:val="000000"/>
                <w:sz w:val="20"/>
                <w:szCs w:val="20"/>
                <w:highlight w:val="none"/>
              </w:rPr>
            </w:pPr>
          </w:p>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(50分)</w:t>
            </w:r>
          </w:p>
        </w:tc>
        <w:tc>
          <w:tcPr>
            <w:tcW w:w="1034"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数量指标</w:t>
            </w:r>
          </w:p>
        </w:tc>
        <w:tc>
          <w:tcPr>
            <w:tcW w:w="1270" w:type="dxa"/>
            <w:tcBorders>
              <w:top w:val="nil"/>
              <w:left w:val="nil"/>
              <w:bottom w:val="single" w:color="auto" w:sz="4" w:space="0"/>
              <w:right w:val="single" w:color="auto" w:sz="4" w:space="0"/>
            </w:tcBorders>
            <w:noWrap w:val="0"/>
            <w:vAlign w:val="center"/>
          </w:tcPr>
          <w:p>
            <w:pPr>
              <w:widowControl/>
              <w:spacing w:line="240" w:lineRule="exact"/>
              <w:jc w:val="left"/>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开展交通运输行政执法检查</w:t>
            </w:r>
          </w:p>
        </w:tc>
        <w:tc>
          <w:tcPr>
            <w:tcW w:w="1311" w:type="dxa"/>
            <w:tcBorders>
              <w:top w:val="nil"/>
              <w:left w:val="nil"/>
              <w:bottom w:val="single" w:color="auto" w:sz="4" w:space="0"/>
              <w:right w:val="single" w:color="auto" w:sz="4" w:space="0"/>
            </w:tcBorders>
            <w:noWrap w:val="0"/>
            <w:vAlign w:val="center"/>
          </w:tcPr>
          <w:p>
            <w:pPr>
              <w:widowControl/>
              <w:spacing w:line="240" w:lineRule="exact"/>
              <w:jc w:val="left"/>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大于等于12次</w:t>
            </w:r>
          </w:p>
        </w:tc>
        <w:tc>
          <w:tcPr>
            <w:tcW w:w="1269" w:type="dxa"/>
            <w:tcBorders>
              <w:top w:val="nil"/>
              <w:left w:val="nil"/>
              <w:bottom w:val="single" w:color="auto" w:sz="4" w:space="0"/>
              <w:right w:val="single" w:color="auto" w:sz="4" w:space="0"/>
            </w:tcBorders>
            <w:noWrap w:val="0"/>
            <w:vAlign w:val="center"/>
          </w:tcPr>
          <w:p>
            <w:pPr>
              <w:widowControl/>
              <w:spacing w:line="240" w:lineRule="exact"/>
              <w:jc w:val="left"/>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12次</w:t>
            </w:r>
          </w:p>
        </w:tc>
        <w:tc>
          <w:tcPr>
            <w:tcW w:w="716"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val="en-US" w:eastAsia="zh-CN"/>
              </w:rPr>
              <w:t>10</w:t>
            </w:r>
          </w:p>
        </w:tc>
        <w:tc>
          <w:tcPr>
            <w:tcW w:w="873" w:type="dxa"/>
            <w:tcBorders>
              <w:top w:val="nil"/>
              <w:left w:val="nil"/>
              <w:bottom w:val="single" w:color="auto" w:sz="4" w:space="0"/>
              <w:right w:val="single" w:color="auto" w:sz="4" w:space="0"/>
            </w:tcBorders>
            <w:noWrap w:val="0"/>
            <w:vAlign w:val="center"/>
          </w:tcPr>
          <w:p>
            <w:pPr>
              <w:widowControl/>
              <w:spacing w:line="240" w:lineRule="exact"/>
              <w:jc w:val="center"/>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10</w:t>
            </w:r>
          </w:p>
        </w:tc>
        <w:tc>
          <w:tcPr>
            <w:tcW w:w="144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34"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质量指标</w:t>
            </w:r>
          </w:p>
        </w:tc>
        <w:tc>
          <w:tcPr>
            <w:tcW w:w="1270" w:type="dxa"/>
            <w:tcBorders>
              <w:top w:val="nil"/>
              <w:left w:val="nil"/>
              <w:bottom w:val="single" w:color="auto" w:sz="4" w:space="0"/>
              <w:right w:val="single" w:color="auto" w:sz="4" w:space="0"/>
            </w:tcBorders>
            <w:noWrap w:val="0"/>
            <w:vAlign w:val="center"/>
          </w:tcPr>
          <w:p>
            <w:pPr>
              <w:widowControl/>
              <w:spacing w:line="240" w:lineRule="exact"/>
              <w:jc w:val="center"/>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交通问题顽瘴痼疾整治</w:t>
            </w:r>
          </w:p>
        </w:tc>
        <w:tc>
          <w:tcPr>
            <w:tcW w:w="1311" w:type="dxa"/>
            <w:tcBorders>
              <w:top w:val="nil"/>
              <w:left w:val="nil"/>
              <w:bottom w:val="single" w:color="auto" w:sz="4" w:space="0"/>
              <w:right w:val="single" w:color="auto" w:sz="4" w:space="0"/>
            </w:tcBorders>
            <w:noWrap w:val="0"/>
            <w:vAlign w:val="center"/>
          </w:tcPr>
          <w:p>
            <w:pPr>
              <w:widowControl/>
              <w:spacing w:line="240" w:lineRule="exact"/>
              <w:jc w:val="left"/>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大于等于92分</w:t>
            </w:r>
          </w:p>
        </w:tc>
        <w:tc>
          <w:tcPr>
            <w:tcW w:w="1269" w:type="dxa"/>
            <w:tcBorders>
              <w:top w:val="nil"/>
              <w:left w:val="nil"/>
              <w:bottom w:val="single" w:color="auto" w:sz="4" w:space="0"/>
              <w:right w:val="single" w:color="auto" w:sz="4" w:space="0"/>
            </w:tcBorders>
            <w:noWrap w:val="0"/>
            <w:vAlign w:val="center"/>
          </w:tcPr>
          <w:p>
            <w:pPr>
              <w:widowControl/>
              <w:spacing w:line="240" w:lineRule="exact"/>
              <w:jc w:val="left"/>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90分</w:t>
            </w:r>
          </w:p>
        </w:tc>
        <w:tc>
          <w:tcPr>
            <w:tcW w:w="716" w:type="dxa"/>
            <w:tcBorders>
              <w:top w:val="nil"/>
              <w:left w:val="nil"/>
              <w:bottom w:val="single" w:color="auto" w:sz="4" w:space="0"/>
              <w:right w:val="single" w:color="auto" w:sz="4" w:space="0"/>
            </w:tcBorders>
            <w:noWrap w:val="0"/>
            <w:vAlign w:val="center"/>
          </w:tcPr>
          <w:p>
            <w:pPr>
              <w:widowControl/>
              <w:spacing w:line="240" w:lineRule="exact"/>
              <w:jc w:val="center"/>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10</w:t>
            </w:r>
          </w:p>
        </w:tc>
        <w:tc>
          <w:tcPr>
            <w:tcW w:w="873"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9</w:t>
            </w:r>
          </w:p>
        </w:tc>
        <w:tc>
          <w:tcPr>
            <w:tcW w:w="144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34"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_GB2312" w:hAnsi="仿宋_GB2312" w:eastAsia="仿宋_GB2312" w:cs="仿宋_GB2312"/>
                <w:color w:val="000000"/>
                <w:sz w:val="20"/>
                <w:szCs w:val="20"/>
                <w:highlight w:val="none"/>
              </w:rPr>
            </w:pPr>
          </w:p>
        </w:tc>
        <w:tc>
          <w:tcPr>
            <w:tcW w:w="1270" w:type="dxa"/>
            <w:tcBorders>
              <w:top w:val="nil"/>
              <w:left w:val="nil"/>
              <w:bottom w:val="single" w:color="auto" w:sz="4" w:space="0"/>
              <w:right w:val="single" w:color="auto" w:sz="4" w:space="0"/>
            </w:tcBorders>
            <w:noWrap w:val="0"/>
            <w:vAlign w:val="center"/>
          </w:tcPr>
          <w:p>
            <w:pPr>
              <w:widowControl/>
              <w:spacing w:line="240" w:lineRule="exact"/>
              <w:jc w:val="center"/>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交通运输行业检查</w:t>
            </w:r>
          </w:p>
        </w:tc>
        <w:tc>
          <w:tcPr>
            <w:tcW w:w="1311" w:type="dxa"/>
            <w:tcBorders>
              <w:top w:val="nil"/>
              <w:left w:val="nil"/>
              <w:bottom w:val="single" w:color="auto" w:sz="4" w:space="0"/>
              <w:right w:val="single" w:color="auto" w:sz="4" w:space="0"/>
            </w:tcBorders>
            <w:noWrap w:val="0"/>
            <w:vAlign w:val="center"/>
          </w:tcPr>
          <w:p>
            <w:pPr>
              <w:widowControl/>
              <w:spacing w:line="240" w:lineRule="exact"/>
              <w:jc w:val="left"/>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大于等于12次</w:t>
            </w:r>
          </w:p>
        </w:tc>
        <w:tc>
          <w:tcPr>
            <w:tcW w:w="1269" w:type="dxa"/>
            <w:tcBorders>
              <w:top w:val="nil"/>
              <w:left w:val="nil"/>
              <w:bottom w:val="single" w:color="auto" w:sz="4" w:space="0"/>
              <w:right w:val="single" w:color="auto" w:sz="4" w:space="0"/>
            </w:tcBorders>
            <w:noWrap w:val="0"/>
            <w:vAlign w:val="center"/>
          </w:tcPr>
          <w:p>
            <w:pPr>
              <w:widowControl/>
              <w:spacing w:line="240" w:lineRule="exact"/>
              <w:jc w:val="left"/>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15次</w:t>
            </w:r>
          </w:p>
        </w:tc>
        <w:tc>
          <w:tcPr>
            <w:tcW w:w="716" w:type="dxa"/>
            <w:tcBorders>
              <w:top w:val="nil"/>
              <w:left w:val="nil"/>
              <w:bottom w:val="single" w:color="auto" w:sz="4" w:space="0"/>
              <w:right w:val="single" w:color="auto" w:sz="4" w:space="0"/>
            </w:tcBorders>
            <w:noWrap w:val="0"/>
            <w:vAlign w:val="center"/>
          </w:tcPr>
          <w:p>
            <w:pPr>
              <w:widowControl/>
              <w:spacing w:line="240" w:lineRule="exact"/>
              <w:jc w:val="center"/>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10</w:t>
            </w:r>
          </w:p>
        </w:tc>
        <w:tc>
          <w:tcPr>
            <w:tcW w:w="873" w:type="dxa"/>
            <w:tcBorders>
              <w:top w:val="nil"/>
              <w:left w:val="nil"/>
              <w:bottom w:val="single" w:color="auto" w:sz="4" w:space="0"/>
              <w:right w:val="single" w:color="auto" w:sz="4" w:space="0"/>
            </w:tcBorders>
            <w:noWrap w:val="0"/>
            <w:vAlign w:val="center"/>
          </w:tcPr>
          <w:p>
            <w:pPr>
              <w:widowControl/>
              <w:spacing w:line="240" w:lineRule="exact"/>
              <w:jc w:val="center"/>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10</w:t>
            </w:r>
          </w:p>
        </w:tc>
        <w:tc>
          <w:tcPr>
            <w:tcW w:w="144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34"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时效指标</w:t>
            </w:r>
          </w:p>
        </w:tc>
        <w:tc>
          <w:tcPr>
            <w:tcW w:w="1270" w:type="dxa"/>
            <w:tcBorders>
              <w:top w:val="nil"/>
              <w:left w:val="nil"/>
              <w:bottom w:val="single" w:color="auto" w:sz="4" w:space="0"/>
              <w:right w:val="single" w:color="auto" w:sz="4" w:space="0"/>
            </w:tcBorders>
            <w:noWrap w:val="0"/>
            <w:vAlign w:val="center"/>
          </w:tcPr>
          <w:p>
            <w:pPr>
              <w:widowControl/>
              <w:spacing w:line="240" w:lineRule="exact"/>
              <w:jc w:val="center"/>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项目完成及时率</w:t>
            </w:r>
          </w:p>
        </w:tc>
        <w:tc>
          <w:tcPr>
            <w:tcW w:w="1311" w:type="dxa"/>
            <w:tcBorders>
              <w:top w:val="nil"/>
              <w:left w:val="nil"/>
              <w:bottom w:val="single" w:color="auto" w:sz="4" w:space="0"/>
              <w:right w:val="single" w:color="auto" w:sz="4" w:space="0"/>
            </w:tcBorders>
            <w:noWrap w:val="0"/>
            <w:vAlign w:val="center"/>
          </w:tcPr>
          <w:p>
            <w:pPr>
              <w:widowControl/>
              <w:spacing w:line="240" w:lineRule="exact"/>
              <w:jc w:val="left"/>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等于100%</w:t>
            </w:r>
          </w:p>
        </w:tc>
        <w:tc>
          <w:tcPr>
            <w:tcW w:w="1269" w:type="dxa"/>
            <w:tcBorders>
              <w:top w:val="nil"/>
              <w:left w:val="nil"/>
              <w:bottom w:val="single" w:color="auto" w:sz="4" w:space="0"/>
              <w:right w:val="single" w:color="auto" w:sz="4" w:space="0"/>
            </w:tcBorders>
            <w:noWrap w:val="0"/>
            <w:vAlign w:val="center"/>
          </w:tcPr>
          <w:p>
            <w:pPr>
              <w:widowControl/>
              <w:spacing w:line="240" w:lineRule="exact"/>
              <w:jc w:val="left"/>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等于100%</w:t>
            </w:r>
          </w:p>
        </w:tc>
        <w:tc>
          <w:tcPr>
            <w:tcW w:w="716" w:type="dxa"/>
            <w:tcBorders>
              <w:top w:val="nil"/>
              <w:left w:val="nil"/>
              <w:bottom w:val="single" w:color="auto" w:sz="4" w:space="0"/>
              <w:right w:val="single" w:color="auto" w:sz="4" w:space="0"/>
            </w:tcBorders>
            <w:noWrap w:val="0"/>
            <w:vAlign w:val="center"/>
          </w:tcPr>
          <w:p>
            <w:pPr>
              <w:widowControl/>
              <w:spacing w:line="240" w:lineRule="exact"/>
              <w:jc w:val="center"/>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10</w:t>
            </w:r>
          </w:p>
        </w:tc>
        <w:tc>
          <w:tcPr>
            <w:tcW w:w="873" w:type="dxa"/>
            <w:tcBorders>
              <w:top w:val="nil"/>
              <w:left w:val="nil"/>
              <w:bottom w:val="single" w:color="auto" w:sz="4" w:space="0"/>
              <w:right w:val="single" w:color="auto" w:sz="4" w:space="0"/>
            </w:tcBorders>
            <w:noWrap w:val="0"/>
            <w:vAlign w:val="center"/>
          </w:tcPr>
          <w:p>
            <w:pPr>
              <w:widowControl/>
              <w:spacing w:line="240" w:lineRule="exact"/>
              <w:jc w:val="center"/>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10</w:t>
            </w:r>
          </w:p>
        </w:tc>
        <w:tc>
          <w:tcPr>
            <w:tcW w:w="144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34"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成本指标</w:t>
            </w:r>
          </w:p>
        </w:tc>
        <w:tc>
          <w:tcPr>
            <w:tcW w:w="1270" w:type="dxa"/>
            <w:tcBorders>
              <w:top w:val="nil"/>
              <w:left w:val="nil"/>
              <w:bottom w:val="single" w:color="auto" w:sz="4" w:space="0"/>
              <w:right w:val="single" w:color="auto" w:sz="4" w:space="0"/>
            </w:tcBorders>
            <w:noWrap w:val="0"/>
            <w:vAlign w:val="center"/>
          </w:tcPr>
          <w:p>
            <w:pPr>
              <w:widowControl/>
              <w:spacing w:line="240" w:lineRule="exact"/>
              <w:jc w:val="center"/>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按项目预算完成</w:t>
            </w:r>
          </w:p>
        </w:tc>
        <w:tc>
          <w:tcPr>
            <w:tcW w:w="1311" w:type="dxa"/>
            <w:tcBorders>
              <w:top w:val="nil"/>
              <w:left w:val="nil"/>
              <w:bottom w:val="single" w:color="auto" w:sz="4" w:space="0"/>
              <w:right w:val="single" w:color="auto" w:sz="4" w:space="0"/>
            </w:tcBorders>
            <w:noWrap w:val="0"/>
            <w:vAlign w:val="center"/>
          </w:tcPr>
          <w:p>
            <w:pPr>
              <w:widowControl/>
              <w:spacing w:line="240" w:lineRule="exact"/>
              <w:jc w:val="left"/>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等于180万元</w:t>
            </w:r>
          </w:p>
        </w:tc>
        <w:tc>
          <w:tcPr>
            <w:tcW w:w="1269" w:type="dxa"/>
            <w:tcBorders>
              <w:top w:val="nil"/>
              <w:left w:val="nil"/>
              <w:bottom w:val="single" w:color="auto" w:sz="4" w:space="0"/>
              <w:right w:val="single" w:color="auto" w:sz="4" w:space="0"/>
            </w:tcBorders>
            <w:noWrap w:val="0"/>
            <w:vAlign w:val="center"/>
          </w:tcPr>
          <w:p>
            <w:pPr>
              <w:widowControl/>
              <w:spacing w:line="240" w:lineRule="exact"/>
              <w:jc w:val="left"/>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等于180万元</w:t>
            </w:r>
          </w:p>
        </w:tc>
        <w:tc>
          <w:tcPr>
            <w:tcW w:w="716" w:type="dxa"/>
            <w:tcBorders>
              <w:top w:val="nil"/>
              <w:left w:val="nil"/>
              <w:bottom w:val="single" w:color="auto" w:sz="4" w:space="0"/>
              <w:right w:val="single" w:color="auto" w:sz="4" w:space="0"/>
            </w:tcBorders>
            <w:noWrap w:val="0"/>
            <w:vAlign w:val="center"/>
          </w:tcPr>
          <w:p>
            <w:pPr>
              <w:widowControl/>
              <w:spacing w:line="240" w:lineRule="exact"/>
              <w:jc w:val="center"/>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10</w:t>
            </w:r>
          </w:p>
        </w:tc>
        <w:tc>
          <w:tcPr>
            <w:tcW w:w="873" w:type="dxa"/>
            <w:tcBorders>
              <w:top w:val="nil"/>
              <w:left w:val="nil"/>
              <w:bottom w:val="single" w:color="auto" w:sz="4" w:space="0"/>
              <w:right w:val="single" w:color="auto" w:sz="4" w:space="0"/>
            </w:tcBorders>
            <w:noWrap w:val="0"/>
            <w:vAlign w:val="center"/>
          </w:tcPr>
          <w:p>
            <w:pPr>
              <w:widowControl/>
              <w:spacing w:line="240" w:lineRule="exact"/>
              <w:jc w:val="center"/>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10</w:t>
            </w:r>
          </w:p>
        </w:tc>
        <w:tc>
          <w:tcPr>
            <w:tcW w:w="144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效益指标</w:t>
            </w:r>
          </w:p>
          <w:p>
            <w:pPr>
              <w:widowControl/>
              <w:spacing w:line="240" w:lineRule="exact"/>
              <w:jc w:val="left"/>
              <w:rPr>
                <w:rFonts w:hint="eastAsia" w:ascii="仿宋_GB2312" w:hAnsi="仿宋_GB2312" w:eastAsia="仿宋_GB2312" w:cs="仿宋_GB2312"/>
                <w:color w:val="000000"/>
                <w:sz w:val="20"/>
                <w:szCs w:val="20"/>
                <w:highlight w:val="none"/>
              </w:rPr>
            </w:pPr>
          </w:p>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（30分）</w:t>
            </w:r>
          </w:p>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034"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经济效</w:t>
            </w:r>
          </w:p>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益指标</w:t>
            </w:r>
          </w:p>
        </w:tc>
        <w:tc>
          <w:tcPr>
            <w:tcW w:w="1270" w:type="dxa"/>
            <w:tcBorders>
              <w:top w:val="nil"/>
              <w:left w:val="nil"/>
              <w:bottom w:val="single" w:color="auto" w:sz="4" w:space="0"/>
              <w:right w:val="single" w:color="auto" w:sz="4" w:space="0"/>
            </w:tcBorders>
            <w:noWrap w:val="0"/>
            <w:vAlign w:val="center"/>
          </w:tcPr>
          <w:p>
            <w:pPr>
              <w:widowControl/>
              <w:spacing w:line="240" w:lineRule="exact"/>
              <w:jc w:val="center"/>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财政资金支出</w:t>
            </w:r>
          </w:p>
        </w:tc>
        <w:tc>
          <w:tcPr>
            <w:tcW w:w="1311" w:type="dxa"/>
            <w:tcBorders>
              <w:top w:val="nil"/>
              <w:left w:val="nil"/>
              <w:bottom w:val="single" w:color="auto" w:sz="4" w:space="0"/>
              <w:right w:val="single" w:color="auto" w:sz="4" w:space="0"/>
            </w:tcBorders>
            <w:noWrap w:val="0"/>
            <w:vAlign w:val="center"/>
          </w:tcPr>
          <w:p>
            <w:pPr>
              <w:widowControl/>
              <w:spacing w:line="240" w:lineRule="exact"/>
              <w:jc w:val="left"/>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部门整体经费控制在预算范围内</w:t>
            </w:r>
          </w:p>
        </w:tc>
        <w:tc>
          <w:tcPr>
            <w:tcW w:w="1269" w:type="dxa"/>
            <w:tcBorders>
              <w:top w:val="nil"/>
              <w:left w:val="nil"/>
              <w:bottom w:val="single" w:color="auto" w:sz="4" w:space="0"/>
              <w:right w:val="single" w:color="auto" w:sz="4" w:space="0"/>
            </w:tcBorders>
            <w:noWrap w:val="0"/>
            <w:vAlign w:val="center"/>
          </w:tcPr>
          <w:p>
            <w:pPr>
              <w:widowControl/>
              <w:spacing w:line="240" w:lineRule="exact"/>
              <w:jc w:val="left"/>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预算范围内</w:t>
            </w:r>
          </w:p>
        </w:tc>
        <w:tc>
          <w:tcPr>
            <w:tcW w:w="716"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val="en-US" w:eastAsia="zh-CN"/>
              </w:rPr>
              <w:t>5</w:t>
            </w:r>
          </w:p>
        </w:tc>
        <w:tc>
          <w:tcPr>
            <w:tcW w:w="873"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5</w:t>
            </w:r>
          </w:p>
        </w:tc>
        <w:tc>
          <w:tcPr>
            <w:tcW w:w="144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34"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社会效</w:t>
            </w:r>
          </w:p>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益指标</w:t>
            </w:r>
          </w:p>
        </w:tc>
        <w:tc>
          <w:tcPr>
            <w:tcW w:w="1270" w:type="dxa"/>
            <w:tcBorders>
              <w:top w:val="nil"/>
              <w:left w:val="nil"/>
              <w:bottom w:val="single" w:color="auto" w:sz="4" w:space="0"/>
              <w:right w:val="single" w:color="auto" w:sz="4" w:space="0"/>
            </w:tcBorders>
            <w:noWrap w:val="0"/>
            <w:vAlign w:val="center"/>
          </w:tcPr>
          <w:p>
            <w:pPr>
              <w:widowControl/>
              <w:spacing w:line="240" w:lineRule="exact"/>
              <w:jc w:val="center"/>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提高群众出行安全、便利性</w:t>
            </w:r>
          </w:p>
        </w:tc>
        <w:tc>
          <w:tcPr>
            <w:tcW w:w="1311"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提高</w:t>
            </w:r>
          </w:p>
        </w:tc>
        <w:tc>
          <w:tcPr>
            <w:tcW w:w="1269"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提高</w:t>
            </w:r>
          </w:p>
        </w:tc>
        <w:tc>
          <w:tcPr>
            <w:tcW w:w="716" w:type="dxa"/>
            <w:tcBorders>
              <w:top w:val="nil"/>
              <w:left w:val="nil"/>
              <w:bottom w:val="single" w:color="auto" w:sz="4" w:space="0"/>
              <w:right w:val="single" w:color="auto" w:sz="4" w:space="0"/>
            </w:tcBorders>
            <w:noWrap w:val="0"/>
            <w:vAlign w:val="center"/>
          </w:tcPr>
          <w:p>
            <w:pPr>
              <w:widowControl/>
              <w:spacing w:line="240" w:lineRule="exact"/>
              <w:jc w:val="center"/>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5</w:t>
            </w:r>
          </w:p>
        </w:tc>
        <w:tc>
          <w:tcPr>
            <w:tcW w:w="873" w:type="dxa"/>
            <w:tcBorders>
              <w:top w:val="nil"/>
              <w:left w:val="nil"/>
              <w:bottom w:val="single" w:color="auto" w:sz="4" w:space="0"/>
              <w:right w:val="single" w:color="auto" w:sz="4" w:space="0"/>
            </w:tcBorders>
            <w:noWrap w:val="0"/>
            <w:vAlign w:val="center"/>
          </w:tcPr>
          <w:p>
            <w:pPr>
              <w:widowControl/>
              <w:spacing w:line="240" w:lineRule="exact"/>
              <w:jc w:val="center"/>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5</w:t>
            </w:r>
          </w:p>
        </w:tc>
        <w:tc>
          <w:tcPr>
            <w:tcW w:w="144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34"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生态效</w:t>
            </w:r>
          </w:p>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益指标</w:t>
            </w:r>
          </w:p>
        </w:tc>
        <w:tc>
          <w:tcPr>
            <w:tcW w:w="1270" w:type="dxa"/>
            <w:tcBorders>
              <w:top w:val="nil"/>
              <w:left w:val="nil"/>
              <w:bottom w:val="single" w:color="auto" w:sz="4" w:space="0"/>
              <w:right w:val="single" w:color="auto" w:sz="4" w:space="0"/>
            </w:tcBorders>
            <w:noWrap w:val="0"/>
            <w:vAlign w:val="center"/>
          </w:tcPr>
          <w:p>
            <w:pPr>
              <w:widowControl/>
              <w:spacing w:line="240" w:lineRule="exact"/>
              <w:jc w:val="center"/>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交通建设符合环境审批要求</w:t>
            </w:r>
          </w:p>
        </w:tc>
        <w:tc>
          <w:tcPr>
            <w:tcW w:w="1311"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促进</w:t>
            </w:r>
          </w:p>
        </w:tc>
        <w:tc>
          <w:tcPr>
            <w:tcW w:w="1269"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促进</w:t>
            </w:r>
          </w:p>
        </w:tc>
        <w:tc>
          <w:tcPr>
            <w:tcW w:w="716" w:type="dxa"/>
            <w:tcBorders>
              <w:top w:val="nil"/>
              <w:left w:val="nil"/>
              <w:bottom w:val="single" w:color="auto" w:sz="4" w:space="0"/>
              <w:right w:val="single" w:color="auto" w:sz="4" w:space="0"/>
            </w:tcBorders>
            <w:noWrap w:val="0"/>
            <w:vAlign w:val="center"/>
          </w:tcPr>
          <w:p>
            <w:pPr>
              <w:widowControl/>
              <w:spacing w:line="240" w:lineRule="exact"/>
              <w:jc w:val="center"/>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10</w:t>
            </w:r>
          </w:p>
        </w:tc>
        <w:tc>
          <w:tcPr>
            <w:tcW w:w="873" w:type="dxa"/>
            <w:tcBorders>
              <w:top w:val="nil"/>
              <w:left w:val="nil"/>
              <w:bottom w:val="single" w:color="auto" w:sz="4" w:space="0"/>
              <w:right w:val="single" w:color="auto" w:sz="4" w:space="0"/>
            </w:tcBorders>
            <w:noWrap w:val="0"/>
            <w:vAlign w:val="center"/>
          </w:tcPr>
          <w:p>
            <w:pPr>
              <w:widowControl/>
              <w:spacing w:line="240" w:lineRule="exact"/>
              <w:jc w:val="center"/>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10</w:t>
            </w:r>
          </w:p>
        </w:tc>
        <w:tc>
          <w:tcPr>
            <w:tcW w:w="144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trHeight w:val="290" w:hRule="atLeast"/>
          <w:jc w:val="center"/>
        </w:trPr>
        <w:tc>
          <w:tcPr>
            <w:tcW w:w="1080" w:type="dxa"/>
            <w:vMerge w:val="continue"/>
            <w:tcBorders>
              <w:left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p>
        </w:tc>
        <w:tc>
          <w:tcPr>
            <w:tcW w:w="1034"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可持续影响指标</w:t>
            </w:r>
          </w:p>
        </w:tc>
        <w:tc>
          <w:tcPr>
            <w:tcW w:w="1270"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道路畅通。居民出行</w:t>
            </w:r>
          </w:p>
        </w:tc>
        <w:tc>
          <w:tcPr>
            <w:tcW w:w="1311"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崔进</w:t>
            </w:r>
          </w:p>
        </w:tc>
        <w:tc>
          <w:tcPr>
            <w:tcW w:w="1269"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促进</w:t>
            </w:r>
          </w:p>
        </w:tc>
        <w:tc>
          <w:tcPr>
            <w:tcW w:w="716"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10</w:t>
            </w:r>
          </w:p>
        </w:tc>
        <w:tc>
          <w:tcPr>
            <w:tcW w:w="873"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10</w:t>
            </w:r>
          </w:p>
        </w:tc>
        <w:tc>
          <w:tcPr>
            <w:tcW w:w="1446"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trHeight w:val="330" w:hRule="atLeast"/>
          <w:jc w:val="center"/>
        </w:trPr>
        <w:tc>
          <w:tcPr>
            <w:tcW w:w="1080" w:type="dxa"/>
            <w:vMerge w:val="continue"/>
            <w:tcBorders>
              <w:left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80"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满意度</w:t>
            </w:r>
          </w:p>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指标</w:t>
            </w:r>
          </w:p>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（10分）</w:t>
            </w:r>
          </w:p>
        </w:tc>
        <w:tc>
          <w:tcPr>
            <w:tcW w:w="1034"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服务对象满意度指标</w:t>
            </w:r>
          </w:p>
        </w:tc>
        <w:tc>
          <w:tcPr>
            <w:tcW w:w="1270" w:type="dxa"/>
            <w:tcBorders>
              <w:top w:val="nil"/>
              <w:left w:val="nil"/>
              <w:bottom w:val="single" w:color="auto" w:sz="4" w:space="0"/>
              <w:right w:val="single" w:color="auto" w:sz="4" w:space="0"/>
            </w:tcBorders>
            <w:noWrap w:val="0"/>
            <w:vAlign w:val="center"/>
          </w:tcPr>
          <w:p>
            <w:pPr>
              <w:widowControl/>
              <w:spacing w:line="240" w:lineRule="exact"/>
              <w:jc w:val="center"/>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社会公众满意度</w:t>
            </w:r>
          </w:p>
        </w:tc>
        <w:tc>
          <w:tcPr>
            <w:tcW w:w="1311" w:type="dxa"/>
            <w:tcBorders>
              <w:top w:val="nil"/>
              <w:left w:val="nil"/>
              <w:bottom w:val="single" w:color="auto" w:sz="4" w:space="0"/>
              <w:right w:val="single" w:color="auto" w:sz="4" w:space="0"/>
            </w:tcBorders>
            <w:noWrap w:val="0"/>
            <w:vAlign w:val="center"/>
          </w:tcPr>
          <w:p>
            <w:pPr>
              <w:widowControl/>
              <w:spacing w:line="240" w:lineRule="exact"/>
              <w:jc w:val="left"/>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大于等于90%</w:t>
            </w:r>
          </w:p>
        </w:tc>
        <w:tc>
          <w:tcPr>
            <w:tcW w:w="1269" w:type="dxa"/>
            <w:tcBorders>
              <w:top w:val="nil"/>
              <w:left w:val="nil"/>
              <w:bottom w:val="single" w:color="auto" w:sz="4" w:space="0"/>
              <w:right w:val="single" w:color="auto" w:sz="4" w:space="0"/>
            </w:tcBorders>
            <w:noWrap w:val="0"/>
            <w:vAlign w:val="center"/>
          </w:tcPr>
          <w:p>
            <w:pPr>
              <w:widowControl/>
              <w:spacing w:line="240" w:lineRule="exact"/>
              <w:jc w:val="left"/>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大于等于90%</w:t>
            </w:r>
          </w:p>
        </w:tc>
        <w:tc>
          <w:tcPr>
            <w:tcW w:w="716" w:type="dxa"/>
            <w:tcBorders>
              <w:top w:val="nil"/>
              <w:left w:val="nil"/>
              <w:bottom w:val="single" w:color="auto" w:sz="4" w:space="0"/>
              <w:right w:val="single" w:color="auto" w:sz="4" w:space="0"/>
            </w:tcBorders>
            <w:noWrap w:val="0"/>
            <w:vAlign w:val="center"/>
          </w:tcPr>
          <w:p>
            <w:pPr>
              <w:widowControl/>
              <w:spacing w:line="240" w:lineRule="exact"/>
              <w:jc w:val="center"/>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10</w:t>
            </w:r>
          </w:p>
        </w:tc>
        <w:tc>
          <w:tcPr>
            <w:tcW w:w="873" w:type="dxa"/>
            <w:tcBorders>
              <w:top w:val="nil"/>
              <w:left w:val="nil"/>
              <w:bottom w:val="single" w:color="auto" w:sz="4" w:space="0"/>
              <w:right w:val="single" w:color="auto" w:sz="4" w:space="0"/>
            </w:tcBorders>
            <w:noWrap w:val="0"/>
            <w:vAlign w:val="center"/>
          </w:tcPr>
          <w:p>
            <w:pPr>
              <w:widowControl/>
              <w:spacing w:line="240" w:lineRule="exact"/>
              <w:jc w:val="center"/>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10</w:t>
            </w:r>
          </w:p>
        </w:tc>
        <w:tc>
          <w:tcPr>
            <w:tcW w:w="144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trHeight w:val="270" w:hRule="atLeast"/>
          <w:jc w:val="center"/>
        </w:trPr>
        <w:tc>
          <w:tcPr>
            <w:tcW w:w="7044" w:type="dxa"/>
            <w:gridSpan w:val="6"/>
            <w:tcBorders>
              <w:top w:val="single" w:color="auto" w:sz="4" w:space="0"/>
              <w:left w:val="single" w:color="auto" w:sz="4" w:space="0"/>
              <w:bottom w:val="single" w:color="auto" w:sz="4" w:space="0"/>
              <w:right w:val="single" w:color="000000"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总分</w:t>
            </w:r>
          </w:p>
        </w:tc>
        <w:tc>
          <w:tcPr>
            <w:tcW w:w="716" w:type="dxa"/>
            <w:tcBorders>
              <w:top w:val="nil"/>
              <w:left w:val="nil"/>
              <w:bottom w:val="single" w:color="auto" w:sz="4" w:space="0"/>
              <w:right w:val="single" w:color="auto" w:sz="4" w:space="0"/>
            </w:tcBorders>
            <w:noWrap w:val="0"/>
            <w:vAlign w:val="center"/>
          </w:tcPr>
          <w:p>
            <w:pPr>
              <w:widowControl/>
              <w:spacing w:line="240" w:lineRule="exact"/>
              <w:jc w:val="center"/>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98</w:t>
            </w:r>
          </w:p>
        </w:tc>
        <w:tc>
          <w:tcPr>
            <w:tcW w:w="873"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p>
        </w:tc>
        <w:tc>
          <w:tcPr>
            <w:tcW w:w="144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bl>
    <w:p>
      <w:pPr>
        <w:keepNext w:val="0"/>
        <w:keepLines w:val="0"/>
        <w:pageBreakBefore w:val="0"/>
        <w:widowControl w:val="0"/>
        <w:kinsoku/>
        <w:wordWrap/>
        <w:overflowPunct/>
        <w:topLinePunct w:val="0"/>
        <w:autoSpaceDE/>
        <w:autoSpaceDN/>
        <w:bidi w:val="0"/>
        <w:adjustRightInd/>
        <w:snapToGrid/>
        <w:spacing w:afterLines="0" w:line="360" w:lineRule="auto"/>
        <w:ind w:right="0" w:rightChars="0"/>
        <w:jc w:val="both"/>
        <w:textAlignment w:val="auto"/>
        <w:rPr>
          <w:rFonts w:hint="eastAsia" w:ascii="Times New Roman" w:hAnsi="Times New Roman" w:eastAsia="仿宋_GB2312" w:cs="Times New Roman"/>
          <w:sz w:val="22"/>
          <w:szCs w:val="22"/>
          <w:highlight w:val="none"/>
          <w:lang w:val="en-US" w:eastAsia="zh-CN"/>
        </w:rPr>
      </w:pPr>
      <w:r>
        <w:rPr>
          <w:rFonts w:hint="default" w:ascii="Times New Roman" w:hAnsi="Times New Roman" w:eastAsia="仿宋_GB2312" w:cs="Times New Roman"/>
          <w:sz w:val="22"/>
          <w:szCs w:val="22"/>
          <w:highlight w:val="none"/>
        </w:rPr>
        <w:t>填表人：</w:t>
      </w:r>
      <w:r>
        <w:rPr>
          <w:rFonts w:hint="eastAsia" w:ascii="Times New Roman" w:hAnsi="Times New Roman" w:eastAsia="仿宋_GB2312" w:cs="Times New Roman"/>
          <w:sz w:val="22"/>
          <w:szCs w:val="22"/>
          <w:highlight w:val="none"/>
          <w:lang w:val="en-US" w:eastAsia="zh-CN"/>
        </w:rPr>
        <w:t>黄袁</w:t>
      </w:r>
      <w:r>
        <w:rPr>
          <w:rFonts w:hint="default" w:ascii="Times New Roman" w:hAnsi="Times New Roman" w:eastAsia="仿宋_GB2312" w:cs="Times New Roman"/>
          <w:sz w:val="22"/>
          <w:szCs w:val="22"/>
          <w:highlight w:val="none"/>
        </w:rPr>
        <w:t xml:space="preserve">  填报日期：</w:t>
      </w:r>
      <w:r>
        <w:rPr>
          <w:rFonts w:hint="eastAsia" w:ascii="Times New Roman" w:hAnsi="Times New Roman" w:eastAsia="仿宋_GB2312" w:cs="Times New Roman"/>
          <w:sz w:val="22"/>
          <w:szCs w:val="22"/>
          <w:highlight w:val="none"/>
          <w:lang w:val="en-US" w:eastAsia="zh-CN"/>
        </w:rPr>
        <w:t>2024.6.25</w:t>
      </w:r>
      <w:r>
        <w:rPr>
          <w:rFonts w:hint="default" w:ascii="Times New Roman" w:hAnsi="Times New Roman" w:eastAsia="仿宋_GB2312" w:cs="Times New Roman"/>
          <w:sz w:val="22"/>
          <w:szCs w:val="22"/>
          <w:highlight w:val="none"/>
        </w:rPr>
        <w:t xml:space="preserve"> 联系电话：</w:t>
      </w:r>
      <w:r>
        <w:rPr>
          <w:rFonts w:hint="eastAsia" w:ascii="Times New Roman" w:hAnsi="Times New Roman" w:eastAsia="仿宋_GB2312" w:cs="Times New Roman"/>
          <w:sz w:val="22"/>
          <w:szCs w:val="22"/>
          <w:highlight w:val="none"/>
          <w:lang w:val="en-US" w:eastAsia="zh-CN"/>
        </w:rPr>
        <w:t>13975088985</w:t>
      </w:r>
      <w:r>
        <w:rPr>
          <w:rFonts w:hint="default" w:ascii="Times New Roman" w:hAnsi="Times New Roman" w:eastAsia="仿宋_GB2312" w:cs="Times New Roman"/>
          <w:sz w:val="22"/>
          <w:szCs w:val="22"/>
          <w:highlight w:val="none"/>
        </w:rPr>
        <w:t>单位负责人签字：</w:t>
      </w:r>
      <w:r>
        <w:rPr>
          <w:rFonts w:hint="eastAsia" w:ascii="Times New Roman" w:hAnsi="Times New Roman" w:eastAsia="仿宋_GB2312" w:cs="Times New Roman"/>
          <w:sz w:val="22"/>
          <w:szCs w:val="22"/>
          <w:highlight w:val="none"/>
          <w:lang w:val="en-US" w:eastAsia="zh-CN"/>
        </w:rPr>
        <w:t>孙建光</w:t>
      </w:r>
    </w:p>
    <w:p>
      <w:pPr>
        <w:keepNext w:val="0"/>
        <w:keepLines w:val="0"/>
        <w:pageBreakBefore w:val="0"/>
        <w:widowControl w:val="0"/>
        <w:kinsoku/>
        <w:wordWrap/>
        <w:overflowPunct/>
        <w:topLinePunct w:val="0"/>
        <w:autoSpaceDE/>
        <w:autoSpaceDN/>
        <w:bidi w:val="0"/>
        <w:adjustRightInd/>
        <w:snapToGrid/>
        <w:spacing w:afterLines="0" w:line="360" w:lineRule="auto"/>
        <w:ind w:right="0" w:rightChars="0"/>
        <w:jc w:val="both"/>
        <w:textAlignment w:val="auto"/>
        <w:rPr>
          <w:rFonts w:hint="default" w:ascii="Times New Roman" w:hAnsi="Times New Roman" w:eastAsia="仿宋_GB2312" w:cs="Times New Roman"/>
          <w:sz w:val="22"/>
          <w:szCs w:val="22"/>
          <w:highlight w:val="none"/>
        </w:rPr>
      </w:pPr>
    </w:p>
    <w:p>
      <w:pPr>
        <w:keepNext w:val="0"/>
        <w:keepLines w:val="0"/>
        <w:pageBreakBefore w:val="0"/>
        <w:widowControl w:val="0"/>
        <w:kinsoku/>
        <w:wordWrap/>
        <w:overflowPunct/>
        <w:topLinePunct w:val="0"/>
        <w:autoSpaceDE/>
        <w:autoSpaceDN/>
        <w:bidi w:val="0"/>
        <w:adjustRightInd/>
        <w:snapToGrid/>
        <w:spacing w:afterLines="0" w:line="360" w:lineRule="auto"/>
        <w:ind w:right="0" w:rightChars="0"/>
        <w:jc w:val="both"/>
        <w:textAlignment w:val="auto"/>
        <w:rPr>
          <w:rFonts w:hint="default" w:ascii="Times New Roman" w:hAnsi="Times New Roman" w:eastAsia="仿宋_GB2312" w:cs="Times New Roman"/>
          <w:sz w:val="22"/>
          <w:szCs w:val="22"/>
          <w:highlight w:val="none"/>
        </w:rPr>
      </w:pPr>
    </w:p>
    <w:p>
      <w:pPr>
        <w:keepNext w:val="0"/>
        <w:keepLines w:val="0"/>
        <w:pageBreakBefore w:val="0"/>
        <w:widowControl w:val="0"/>
        <w:kinsoku/>
        <w:wordWrap/>
        <w:overflowPunct/>
        <w:topLinePunct w:val="0"/>
        <w:autoSpaceDE/>
        <w:autoSpaceDN/>
        <w:bidi w:val="0"/>
        <w:adjustRightInd/>
        <w:snapToGrid/>
        <w:spacing w:afterLines="0" w:line="360" w:lineRule="auto"/>
        <w:ind w:right="0" w:rightChars="0"/>
        <w:jc w:val="both"/>
        <w:textAlignment w:val="auto"/>
        <w:rPr>
          <w:rFonts w:hint="default" w:ascii="Times New Roman" w:hAnsi="Times New Roman" w:eastAsia="仿宋_GB2312" w:cs="Times New Roman"/>
          <w:sz w:val="22"/>
          <w:szCs w:val="22"/>
          <w:highlight w:val="none"/>
        </w:rPr>
      </w:pPr>
    </w:p>
    <w:p>
      <w:pPr>
        <w:keepNext w:val="0"/>
        <w:keepLines w:val="0"/>
        <w:pageBreakBefore w:val="0"/>
        <w:widowControl w:val="0"/>
        <w:kinsoku/>
        <w:wordWrap/>
        <w:overflowPunct/>
        <w:topLinePunct w:val="0"/>
        <w:autoSpaceDE/>
        <w:autoSpaceDN/>
        <w:bidi w:val="0"/>
        <w:adjustRightInd/>
        <w:snapToGrid/>
        <w:spacing w:afterLines="0" w:line="360" w:lineRule="auto"/>
        <w:ind w:right="0" w:rightChars="0"/>
        <w:jc w:val="both"/>
        <w:textAlignment w:val="auto"/>
        <w:rPr>
          <w:rFonts w:hint="default" w:ascii="Times New Roman" w:hAnsi="Times New Roman" w:eastAsia="仿宋_GB2312" w:cs="Times New Roman"/>
          <w:sz w:val="22"/>
          <w:szCs w:val="22"/>
          <w:highlight w:val="none"/>
        </w:rPr>
      </w:pPr>
    </w:p>
    <w:p>
      <w:pPr>
        <w:keepNext w:val="0"/>
        <w:keepLines w:val="0"/>
        <w:pageBreakBefore w:val="0"/>
        <w:widowControl w:val="0"/>
        <w:kinsoku/>
        <w:wordWrap/>
        <w:overflowPunct/>
        <w:topLinePunct w:val="0"/>
        <w:autoSpaceDE/>
        <w:autoSpaceDN/>
        <w:bidi w:val="0"/>
        <w:adjustRightInd/>
        <w:snapToGrid/>
        <w:spacing w:afterLines="0" w:line="360" w:lineRule="auto"/>
        <w:ind w:right="0" w:rightChars="0"/>
        <w:jc w:val="both"/>
        <w:textAlignment w:val="auto"/>
        <w:rPr>
          <w:rFonts w:hint="default" w:ascii="Times New Roman" w:hAnsi="Times New Roman" w:eastAsia="仿宋_GB2312" w:cs="Times New Roman"/>
          <w:sz w:val="22"/>
          <w:szCs w:val="22"/>
          <w:highlight w:val="none"/>
        </w:rPr>
      </w:pPr>
    </w:p>
    <w:p>
      <w:pPr>
        <w:widowControl/>
        <w:spacing w:line="600" w:lineRule="exact"/>
        <w:jc w:val="left"/>
        <w:rPr>
          <w:rFonts w:hint="eastAsia" w:ascii="Times New Roman" w:hAnsi="Times New Roman" w:eastAsia="黑体" w:cs="Times New Roman"/>
          <w:sz w:val="32"/>
          <w:szCs w:val="32"/>
          <w:highlight w:val="none"/>
          <w:lang w:eastAsia="zh-CN"/>
        </w:rPr>
      </w:pPr>
      <w:r>
        <w:rPr>
          <w:rFonts w:hint="eastAsia" w:ascii="黑体" w:hAnsi="黑体" w:eastAsia="黑体" w:cs="黑体"/>
          <w:sz w:val="32"/>
          <w:szCs w:val="32"/>
          <w:highlight w:val="none"/>
        </w:rPr>
        <w:t>附件</w:t>
      </w:r>
      <w:r>
        <w:rPr>
          <w:rFonts w:hint="eastAsia" w:ascii="黑体" w:hAnsi="黑体" w:eastAsia="黑体" w:cs="黑体"/>
          <w:sz w:val="32"/>
          <w:szCs w:val="32"/>
          <w:highlight w:val="none"/>
          <w:lang w:val="en-US" w:eastAsia="zh-CN"/>
        </w:rPr>
        <w:t>3</w:t>
      </w:r>
    </w:p>
    <w:p>
      <w:pPr>
        <w:widowControl/>
        <w:spacing w:line="600" w:lineRule="exact"/>
        <w:jc w:val="center"/>
        <w:rPr>
          <w:rFonts w:hint="eastAsia" w:ascii="方正小标宋简体" w:hAnsi="方正小标宋简体" w:eastAsia="方正小标宋简体" w:cs="方正小标宋简体"/>
          <w:color w:val="000000"/>
          <w:sz w:val="36"/>
          <w:szCs w:val="36"/>
          <w:highlight w:val="none"/>
        </w:rPr>
      </w:pPr>
      <w:r>
        <w:rPr>
          <w:rFonts w:hint="eastAsia" w:ascii="方正小标宋简体" w:hAnsi="方正小标宋简体" w:eastAsia="方正小标宋简体" w:cs="方正小标宋简体"/>
          <w:color w:val="000000"/>
          <w:sz w:val="36"/>
          <w:szCs w:val="36"/>
          <w:highlight w:val="none"/>
        </w:rPr>
        <w:t>202</w:t>
      </w:r>
      <w:r>
        <w:rPr>
          <w:rFonts w:hint="eastAsia" w:ascii="方正小标宋简体" w:hAnsi="方正小标宋简体" w:eastAsia="方正小标宋简体" w:cs="方正小标宋简体"/>
          <w:color w:val="000000"/>
          <w:sz w:val="36"/>
          <w:szCs w:val="36"/>
          <w:highlight w:val="none"/>
          <w:lang w:val="en-US" w:eastAsia="zh-CN"/>
        </w:rPr>
        <w:t>3</w:t>
      </w:r>
      <w:r>
        <w:rPr>
          <w:rFonts w:hint="eastAsia" w:ascii="方正小标宋简体" w:hAnsi="方正小标宋简体" w:eastAsia="方正小标宋简体" w:cs="方正小标宋简体"/>
          <w:color w:val="000000"/>
          <w:sz w:val="36"/>
          <w:szCs w:val="36"/>
          <w:highlight w:val="none"/>
        </w:rPr>
        <w:t>年度项目支出绩效自评表</w:t>
      </w:r>
    </w:p>
    <w:tbl>
      <w:tblPr>
        <w:tblStyle w:val="3"/>
        <w:tblW w:w="9851" w:type="dxa"/>
        <w:jc w:val="center"/>
        <w:tblLayout w:type="autofit"/>
        <w:tblCellMar>
          <w:top w:w="0" w:type="dxa"/>
          <w:left w:w="108" w:type="dxa"/>
          <w:bottom w:w="0" w:type="dxa"/>
          <w:right w:w="108" w:type="dxa"/>
        </w:tblCellMar>
      </w:tblPr>
      <w:tblGrid>
        <w:gridCol w:w="1080"/>
        <w:gridCol w:w="1080"/>
        <w:gridCol w:w="1080"/>
        <w:gridCol w:w="1224"/>
        <w:gridCol w:w="1134"/>
        <w:gridCol w:w="1134"/>
        <w:gridCol w:w="828"/>
        <w:gridCol w:w="873"/>
        <w:gridCol w:w="1418"/>
      </w:tblGrid>
      <w:tr>
        <w:tblPrEx>
          <w:tblCellMar>
            <w:top w:w="0" w:type="dxa"/>
            <w:left w:w="108" w:type="dxa"/>
            <w:bottom w:w="0" w:type="dxa"/>
            <w:right w:w="108" w:type="dxa"/>
          </w:tblCellMar>
        </w:tblPrEx>
        <w:trPr>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项目支</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出名称</w:t>
            </w:r>
          </w:p>
        </w:tc>
        <w:tc>
          <w:tcPr>
            <w:tcW w:w="8771" w:type="dxa"/>
            <w:gridSpan w:val="8"/>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主管部门</w:t>
            </w:r>
          </w:p>
        </w:tc>
        <w:tc>
          <w:tcPr>
            <w:tcW w:w="4518" w:type="dxa"/>
            <w:gridSpan w:val="4"/>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134" w:type="dxa"/>
            <w:tcBorders>
              <w:top w:val="single" w:color="auto" w:sz="4" w:space="0"/>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实施单位</w:t>
            </w:r>
          </w:p>
        </w:tc>
        <w:tc>
          <w:tcPr>
            <w:tcW w:w="3119" w:type="dxa"/>
            <w:gridSpan w:val="3"/>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restart"/>
            <w:tcBorders>
              <w:top w:val="nil"/>
              <w:left w:val="single" w:color="auto"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lang w:eastAsia="zh-CN"/>
              </w:rPr>
            </w:pPr>
            <w:r>
              <w:rPr>
                <w:rFonts w:hint="eastAsia" w:ascii="仿宋_GB2312" w:hAnsi="仿宋_GB2312" w:eastAsia="仿宋_GB2312" w:cs="仿宋_GB2312"/>
                <w:color w:val="000000"/>
                <w:sz w:val="20"/>
                <w:szCs w:val="20"/>
                <w:highlight w:val="none"/>
              </w:rPr>
              <w:t>项目资金</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（万元）</w:t>
            </w:r>
          </w:p>
        </w:tc>
        <w:tc>
          <w:tcPr>
            <w:tcW w:w="2160"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年初</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预算数</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全年</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预算数</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全年</w:t>
            </w:r>
          </w:p>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执行数</w:t>
            </w:r>
          </w:p>
        </w:tc>
        <w:tc>
          <w:tcPr>
            <w:tcW w:w="828"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分值</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执行率</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得分</w:t>
            </w:r>
          </w:p>
        </w:tc>
      </w:tr>
      <w:tr>
        <w:tblPrEx>
          <w:tblCellMar>
            <w:top w:w="0" w:type="dxa"/>
            <w:left w:w="108" w:type="dxa"/>
            <w:bottom w:w="0" w:type="dxa"/>
            <w:right w:w="108" w:type="dxa"/>
          </w:tblCellMar>
        </w:tblPrEx>
        <w:trPr>
          <w:jc w:val="center"/>
        </w:trPr>
        <w:tc>
          <w:tcPr>
            <w:tcW w:w="1080" w:type="dxa"/>
            <w:vMerge w:val="continue"/>
            <w:tcBorders>
              <w:top w:val="nil"/>
              <w:left w:val="single" w:color="auto"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2160"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年度资金总额　</w:t>
            </w: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2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10</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top w:val="nil"/>
              <w:left w:val="single" w:color="auto"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2160"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其中：当年财政拨款　</w:t>
            </w: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2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top w:val="nil"/>
              <w:left w:val="single" w:color="auto"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2160"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ind w:firstLine="600" w:firstLineChars="300"/>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上年结转资金　</w:t>
            </w: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2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top w:val="nil"/>
              <w:left w:val="single" w:color="auto"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2160"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ind w:firstLine="600" w:firstLineChars="300"/>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其他资金</w:t>
            </w: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2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restart"/>
            <w:tcBorders>
              <w:top w:val="nil"/>
              <w:left w:val="single" w:color="auto"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年度总体目标</w:t>
            </w:r>
          </w:p>
        </w:tc>
        <w:tc>
          <w:tcPr>
            <w:tcW w:w="4518" w:type="dxa"/>
            <w:gridSpan w:val="4"/>
            <w:tcBorders>
              <w:top w:val="single" w:color="auto" w:sz="4" w:space="0"/>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预期目标</w:t>
            </w:r>
          </w:p>
        </w:tc>
        <w:tc>
          <w:tcPr>
            <w:tcW w:w="4253" w:type="dxa"/>
            <w:gridSpan w:val="4"/>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实际完成情况　</w:t>
            </w:r>
          </w:p>
        </w:tc>
      </w:tr>
      <w:tr>
        <w:tblPrEx>
          <w:tblCellMar>
            <w:top w:w="0" w:type="dxa"/>
            <w:left w:w="108" w:type="dxa"/>
            <w:bottom w:w="0" w:type="dxa"/>
            <w:right w:w="108" w:type="dxa"/>
          </w:tblCellMar>
        </w:tblPrEx>
        <w:trPr>
          <w:jc w:val="center"/>
        </w:trPr>
        <w:tc>
          <w:tcPr>
            <w:tcW w:w="1080" w:type="dxa"/>
            <w:vMerge w:val="continue"/>
            <w:tcBorders>
              <w:top w:val="nil"/>
              <w:left w:val="single" w:color="auto"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4518" w:type="dxa"/>
            <w:gridSpan w:val="4"/>
            <w:tcBorders>
              <w:top w:val="single" w:color="auto" w:sz="4" w:space="0"/>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4253" w:type="dxa"/>
            <w:gridSpan w:val="4"/>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restart"/>
            <w:tcBorders>
              <w:top w:val="nil"/>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绩</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效</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指</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标</w:t>
            </w:r>
          </w:p>
        </w:tc>
        <w:tc>
          <w:tcPr>
            <w:tcW w:w="108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一级指标</w:t>
            </w:r>
          </w:p>
        </w:tc>
        <w:tc>
          <w:tcPr>
            <w:tcW w:w="108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二级指标</w:t>
            </w: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三级指标</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年度</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指标值</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实际</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完成值</w:t>
            </w:r>
          </w:p>
        </w:tc>
        <w:tc>
          <w:tcPr>
            <w:tcW w:w="82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分值</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得分</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偏差原因分析及改进措施</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restart"/>
            <w:tcBorders>
              <w:top w:val="nil"/>
              <w:left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产出指标</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(50分)</w:t>
            </w:r>
          </w:p>
        </w:tc>
        <w:tc>
          <w:tcPr>
            <w:tcW w:w="1080" w:type="dxa"/>
            <w:vMerge w:val="restart"/>
            <w:tcBorders>
              <w:top w:val="nil"/>
              <w:left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数量指标</w:t>
            </w: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2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2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2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restart"/>
            <w:tcBorders>
              <w:top w:val="nil"/>
              <w:left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质量指标</w:t>
            </w: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2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2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2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restart"/>
            <w:tcBorders>
              <w:top w:val="nil"/>
              <w:left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时效指标</w:t>
            </w: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2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2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2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restart"/>
            <w:tcBorders>
              <w:top w:val="nil"/>
              <w:left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成本指标</w:t>
            </w: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2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2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2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restart"/>
            <w:tcBorders>
              <w:top w:val="nil"/>
              <w:left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效益指标</w:t>
            </w:r>
          </w:p>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（30分）</w:t>
            </w:r>
          </w:p>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080" w:type="dxa"/>
            <w:vMerge w:val="restart"/>
            <w:tcBorders>
              <w:top w:val="nil"/>
              <w:left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经济效</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益指标</w:t>
            </w: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2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2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2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restart"/>
            <w:tcBorders>
              <w:top w:val="nil"/>
              <w:left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社会效</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益指标</w:t>
            </w: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2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2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2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restart"/>
            <w:tcBorders>
              <w:top w:val="nil"/>
              <w:left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生态效</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益指标</w:t>
            </w: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2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2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2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可持续影响指标</w:t>
            </w:r>
          </w:p>
        </w:tc>
        <w:tc>
          <w:tcPr>
            <w:tcW w:w="12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22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13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13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2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7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2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restart"/>
            <w:tcBorders>
              <w:top w:val="nil"/>
              <w:left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满意度</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指标</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（10分）</w:t>
            </w:r>
          </w:p>
        </w:tc>
        <w:tc>
          <w:tcPr>
            <w:tcW w:w="1080" w:type="dxa"/>
            <w:vMerge w:val="restart"/>
            <w:tcBorders>
              <w:top w:val="nil"/>
              <w:left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服务对象满意度指标</w:t>
            </w: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2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2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rPr>
          <w:jc w:val="center"/>
        </w:trPr>
        <w:tc>
          <w:tcPr>
            <w:tcW w:w="10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2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6732" w:type="dxa"/>
            <w:gridSpan w:val="6"/>
            <w:tcBorders>
              <w:top w:val="single" w:color="auto" w:sz="4" w:space="0"/>
              <w:left w:val="single" w:color="auto" w:sz="4" w:space="0"/>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总分</w:t>
            </w:r>
          </w:p>
        </w:tc>
        <w:tc>
          <w:tcPr>
            <w:tcW w:w="82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100</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bl>
    <w:p>
      <w:pPr>
        <w:rPr>
          <w:rFonts w:hint="default" w:ascii="Times New Roman" w:hAnsi="Times New Roman" w:eastAsia="仿宋_GB2312" w:cs="Times New Roman"/>
          <w:sz w:val="18"/>
          <w:szCs w:val="18"/>
          <w:highlight w:val="none"/>
        </w:rPr>
      </w:pPr>
    </w:p>
    <w:p>
      <w:pPr>
        <w:rPr>
          <w:rFonts w:hint="default" w:ascii="Times New Roman" w:hAnsi="Times New Roman" w:eastAsia="仿宋_GB2312" w:cs="Times New Roman"/>
          <w:szCs w:val="21"/>
          <w:highlight w:val="none"/>
        </w:rPr>
      </w:pPr>
      <w:r>
        <w:rPr>
          <w:rFonts w:hint="default" w:ascii="Times New Roman" w:hAnsi="Times New Roman" w:eastAsia="仿宋_GB2312" w:cs="Times New Roman"/>
          <w:sz w:val="18"/>
          <w:szCs w:val="18"/>
          <w:highlight w:val="none"/>
        </w:rPr>
        <w:t>备注：一个一级项目支出一张表。</w:t>
      </w:r>
      <w:r>
        <w:rPr>
          <w:rFonts w:hint="eastAsia" w:ascii="Times New Roman" w:hAnsi="Times New Roman" w:eastAsia="仿宋_GB2312" w:cs="Times New Roman"/>
          <w:sz w:val="18"/>
          <w:szCs w:val="18"/>
          <w:highlight w:val="none"/>
          <w:lang w:eastAsia="zh-CN"/>
        </w:rPr>
        <w:t>如，</w:t>
      </w:r>
      <w:r>
        <w:rPr>
          <w:rFonts w:hint="default" w:ascii="Times New Roman" w:hAnsi="Times New Roman" w:eastAsia="仿宋_GB2312" w:cs="Times New Roman"/>
          <w:sz w:val="18"/>
          <w:szCs w:val="18"/>
          <w:highlight w:val="none"/>
        </w:rPr>
        <w:t>业务工作经费</w:t>
      </w:r>
      <w:r>
        <w:rPr>
          <w:rFonts w:hint="eastAsia" w:ascii="Times New Roman" w:hAnsi="Times New Roman" w:eastAsia="仿宋_GB2312" w:cs="Times New Roman"/>
          <w:sz w:val="18"/>
          <w:szCs w:val="18"/>
          <w:highlight w:val="none"/>
          <w:lang w:eastAsia="zh-CN"/>
        </w:rPr>
        <w:t>，</w:t>
      </w:r>
      <w:r>
        <w:rPr>
          <w:rFonts w:hint="default" w:ascii="Times New Roman" w:hAnsi="Times New Roman" w:eastAsia="仿宋_GB2312" w:cs="Times New Roman"/>
          <w:sz w:val="18"/>
          <w:szCs w:val="18"/>
          <w:highlight w:val="none"/>
        </w:rPr>
        <w:t>运行维护经费</w:t>
      </w:r>
      <w:r>
        <w:rPr>
          <w:rFonts w:hint="eastAsia" w:ascii="Times New Roman" w:hAnsi="Times New Roman" w:eastAsia="仿宋_GB2312" w:cs="Times New Roman"/>
          <w:sz w:val="18"/>
          <w:szCs w:val="18"/>
          <w:highlight w:val="none"/>
          <w:lang w:eastAsia="zh-CN"/>
        </w:rPr>
        <w:t>，其他事业发展类资金…各一张表。</w:t>
      </w:r>
    </w:p>
    <w:p>
      <w:pPr>
        <w:keepNext w:val="0"/>
        <w:keepLines w:val="0"/>
        <w:pageBreakBefore w:val="0"/>
        <w:widowControl w:val="0"/>
        <w:kinsoku/>
        <w:wordWrap/>
        <w:overflowPunct/>
        <w:topLinePunct w:val="0"/>
        <w:autoSpaceDE/>
        <w:autoSpaceDN/>
        <w:bidi w:val="0"/>
        <w:adjustRightInd/>
        <w:snapToGrid/>
        <w:spacing w:afterLines="0" w:line="360" w:lineRule="auto"/>
        <w:ind w:right="0" w:rightChars="0"/>
        <w:jc w:val="both"/>
        <w:textAlignment w:val="auto"/>
        <w:rPr>
          <w:rFonts w:hint="default" w:ascii="Times New Roman" w:hAnsi="Times New Roman" w:eastAsia="仿宋_GB2312" w:cs="Times New Roman"/>
          <w:sz w:val="22"/>
          <w:szCs w:val="22"/>
          <w:highlight w:val="none"/>
        </w:rPr>
      </w:pPr>
      <w:r>
        <w:rPr>
          <w:rFonts w:hint="default" w:ascii="Times New Roman" w:hAnsi="Times New Roman" w:eastAsia="仿宋_GB2312" w:cs="Times New Roman"/>
          <w:sz w:val="22"/>
          <w:szCs w:val="22"/>
          <w:highlight w:val="none"/>
        </w:rPr>
        <w:t>填表人：</w:t>
      </w:r>
      <w:r>
        <w:rPr>
          <w:rFonts w:hint="eastAsia" w:ascii="Times New Roman" w:hAnsi="Times New Roman" w:eastAsia="仿宋_GB2312" w:cs="Times New Roman"/>
          <w:sz w:val="22"/>
          <w:szCs w:val="22"/>
          <w:highlight w:val="none"/>
          <w:lang w:val="en-US" w:eastAsia="zh-CN"/>
        </w:rPr>
        <w:t>黄袁</w:t>
      </w:r>
      <w:r>
        <w:rPr>
          <w:rFonts w:hint="default" w:ascii="Times New Roman" w:hAnsi="Times New Roman" w:eastAsia="仿宋_GB2312" w:cs="Times New Roman"/>
          <w:sz w:val="22"/>
          <w:szCs w:val="22"/>
          <w:highlight w:val="none"/>
        </w:rPr>
        <w:t xml:space="preserve"> 填报日期：</w:t>
      </w:r>
      <w:r>
        <w:rPr>
          <w:rFonts w:hint="eastAsia" w:ascii="Times New Roman" w:hAnsi="Times New Roman" w:eastAsia="仿宋_GB2312" w:cs="Times New Roman"/>
          <w:sz w:val="22"/>
          <w:szCs w:val="22"/>
          <w:highlight w:val="none"/>
          <w:lang w:val="en-US" w:eastAsia="zh-CN"/>
        </w:rPr>
        <w:t>2024.6.25</w:t>
      </w:r>
      <w:r>
        <w:rPr>
          <w:rFonts w:hint="default" w:ascii="Times New Roman" w:hAnsi="Times New Roman" w:eastAsia="仿宋_GB2312" w:cs="Times New Roman"/>
          <w:sz w:val="22"/>
          <w:szCs w:val="22"/>
          <w:highlight w:val="none"/>
        </w:rPr>
        <w:t xml:space="preserve"> 联系电话：</w:t>
      </w:r>
      <w:r>
        <w:rPr>
          <w:rFonts w:hint="eastAsia" w:ascii="Times New Roman" w:hAnsi="Times New Roman" w:eastAsia="仿宋_GB2312" w:cs="Times New Roman"/>
          <w:sz w:val="22"/>
          <w:szCs w:val="22"/>
          <w:highlight w:val="none"/>
          <w:lang w:val="en-US" w:eastAsia="zh-CN"/>
        </w:rPr>
        <w:t>13975088985</w:t>
      </w:r>
      <w:r>
        <w:rPr>
          <w:rFonts w:hint="default" w:ascii="Times New Roman" w:hAnsi="Times New Roman" w:eastAsia="仿宋_GB2312" w:cs="Times New Roman"/>
          <w:sz w:val="22"/>
          <w:szCs w:val="22"/>
          <w:highlight w:val="none"/>
        </w:rPr>
        <w:t xml:space="preserve"> 单位负责人签字：</w:t>
      </w:r>
      <w:r>
        <w:rPr>
          <w:rFonts w:hint="eastAsia" w:ascii="Times New Roman" w:hAnsi="Times New Roman" w:eastAsia="仿宋_GB2312" w:cs="Times New Roman"/>
          <w:sz w:val="22"/>
          <w:szCs w:val="22"/>
          <w:highlight w:val="none"/>
          <w:lang w:val="en-US" w:eastAsia="zh-CN"/>
        </w:rPr>
        <w:t>孙建光</w:t>
      </w:r>
      <w:r>
        <w:rPr>
          <w:rFonts w:hint="default" w:ascii="Times New Roman" w:hAnsi="Times New Roman" w:eastAsia="仿宋_GB2312" w:cs="Times New Roman"/>
          <w:sz w:val="22"/>
          <w:szCs w:val="22"/>
          <w:highlight w:val="none"/>
        </w:rPr>
        <w:br w:type="page"/>
      </w:r>
    </w:p>
    <w:p>
      <w:pPr>
        <w:jc w:val="center"/>
        <w:rPr>
          <w:rFonts w:hint="eastAsia" w:ascii="方正小标宋简体" w:hAnsi="方正小标宋简体" w:eastAsia="方正小标宋简体" w:cs="方正小标宋简体"/>
          <w:sz w:val="44"/>
          <w:szCs w:val="44"/>
          <w:highlight w:val="none"/>
        </w:rPr>
      </w:pPr>
      <w:bookmarkStart w:id="0" w:name="_GoBack"/>
      <w:bookmarkEnd w:id="0"/>
      <w:r>
        <w:rPr>
          <w:rFonts w:hint="eastAsia" w:ascii="方正小标宋简体" w:hAnsi="方正小标宋简体" w:eastAsia="方正小标宋简体" w:cs="方正小标宋简体"/>
          <w:sz w:val="44"/>
          <w:szCs w:val="44"/>
          <w:highlight w:val="none"/>
        </w:rPr>
        <w:t>202</w:t>
      </w:r>
      <w:r>
        <w:rPr>
          <w:rFonts w:hint="eastAsia" w:ascii="方正小标宋简体" w:hAnsi="方正小标宋简体" w:eastAsia="方正小标宋简体" w:cs="方正小标宋简体"/>
          <w:sz w:val="44"/>
          <w:szCs w:val="44"/>
          <w:highlight w:val="none"/>
          <w:lang w:val="en-US" w:eastAsia="zh-CN"/>
        </w:rPr>
        <w:t>3</w:t>
      </w:r>
      <w:r>
        <w:rPr>
          <w:rFonts w:hint="eastAsia" w:ascii="方正小标宋简体" w:hAnsi="方正小标宋简体" w:eastAsia="方正小标宋简体" w:cs="方正小标宋简体"/>
          <w:sz w:val="44"/>
          <w:szCs w:val="44"/>
          <w:highlight w:val="none"/>
        </w:rPr>
        <w:t>年度</w:t>
      </w:r>
      <w:r>
        <w:rPr>
          <w:rFonts w:hint="eastAsia" w:ascii="方正小标宋简体" w:hAnsi="方正小标宋简体" w:eastAsia="方正小标宋简体" w:cs="方正小标宋简体"/>
          <w:sz w:val="44"/>
          <w:szCs w:val="44"/>
          <w:highlight w:val="none"/>
          <w:lang w:val="en-US" w:eastAsia="zh-CN"/>
        </w:rPr>
        <w:t>君山区交通运输综合行政执法大队</w:t>
      </w:r>
      <w:r>
        <w:rPr>
          <w:rFonts w:hint="eastAsia" w:ascii="方正小标宋简体" w:hAnsi="方正小标宋简体" w:eastAsia="方正小标宋简体" w:cs="方正小标宋简体"/>
          <w:sz w:val="44"/>
          <w:szCs w:val="44"/>
          <w:highlight w:val="none"/>
        </w:rPr>
        <w:t>整体支出绩效自评报告</w:t>
      </w:r>
    </w:p>
    <w:p>
      <w:pPr>
        <w:jc w:val="center"/>
        <w:rPr>
          <w:rFonts w:hint="default" w:ascii="Times New Roman" w:hAnsi="Times New Roman" w:eastAsia="方正小标宋_GBK" w:cs="Times New Roman"/>
          <w:b/>
          <w:sz w:val="52"/>
          <w:szCs w:val="52"/>
          <w:highlight w:val="none"/>
        </w:rPr>
      </w:pPr>
    </w:p>
    <w:p>
      <w:pPr>
        <w:jc w:val="center"/>
        <w:rPr>
          <w:rFonts w:hint="default" w:ascii="Times New Roman" w:hAnsi="Times New Roman" w:eastAsia="楷体_GB2312" w:cs="Times New Roman"/>
          <w:b/>
          <w:sz w:val="32"/>
          <w:szCs w:val="32"/>
          <w:highlight w:val="none"/>
        </w:rPr>
      </w:pPr>
    </w:p>
    <w:p>
      <w:pPr>
        <w:jc w:val="center"/>
        <w:rPr>
          <w:rFonts w:hint="default" w:ascii="Times New Roman" w:hAnsi="Times New Roman" w:eastAsia="楷体_GB2312" w:cs="Times New Roman"/>
          <w:b/>
          <w:sz w:val="32"/>
          <w:szCs w:val="32"/>
          <w:highlight w:val="none"/>
        </w:rPr>
      </w:pPr>
    </w:p>
    <w:p>
      <w:pPr>
        <w:jc w:val="center"/>
        <w:rPr>
          <w:rFonts w:hint="default" w:ascii="Times New Roman" w:hAnsi="Times New Roman" w:eastAsia="楷体_GB2312" w:cs="Times New Roman"/>
          <w:b/>
          <w:sz w:val="32"/>
          <w:szCs w:val="32"/>
          <w:highlight w:val="none"/>
        </w:rPr>
      </w:pPr>
    </w:p>
    <w:p>
      <w:pPr>
        <w:jc w:val="center"/>
        <w:rPr>
          <w:rFonts w:hint="default" w:ascii="Times New Roman" w:hAnsi="Times New Roman" w:eastAsia="楷体_GB2312" w:cs="Times New Roman"/>
          <w:b/>
          <w:sz w:val="32"/>
          <w:szCs w:val="32"/>
          <w:highlight w:val="none"/>
        </w:rPr>
      </w:pPr>
    </w:p>
    <w:p>
      <w:pPr>
        <w:jc w:val="center"/>
        <w:rPr>
          <w:rFonts w:hint="default" w:ascii="Times New Roman" w:hAnsi="Times New Roman" w:eastAsia="楷体_GB2312" w:cs="Times New Roman"/>
          <w:b/>
          <w:sz w:val="32"/>
          <w:szCs w:val="32"/>
          <w:highlight w:val="none"/>
        </w:rPr>
      </w:pPr>
    </w:p>
    <w:p>
      <w:pPr>
        <w:jc w:val="center"/>
        <w:rPr>
          <w:rFonts w:hint="default" w:ascii="Times New Roman" w:hAnsi="Times New Roman" w:eastAsia="楷体_GB2312" w:cs="Times New Roman"/>
          <w:b/>
          <w:sz w:val="32"/>
          <w:szCs w:val="32"/>
          <w:highlight w:val="none"/>
        </w:rPr>
      </w:pPr>
    </w:p>
    <w:p>
      <w:pPr>
        <w:jc w:val="center"/>
        <w:rPr>
          <w:rFonts w:hint="default" w:ascii="Times New Roman" w:hAnsi="Times New Roman" w:eastAsia="黑体" w:cs="Times New Roman"/>
          <w:sz w:val="32"/>
          <w:szCs w:val="32"/>
          <w:highlight w:val="none"/>
        </w:rPr>
      </w:pPr>
    </w:p>
    <w:p>
      <w:pPr>
        <w:jc w:val="center"/>
        <w:rPr>
          <w:rFonts w:hint="default" w:ascii="Times New Roman" w:hAnsi="Times New Roman" w:eastAsia="黑体" w:cs="Times New Roman"/>
          <w:sz w:val="32"/>
          <w:szCs w:val="32"/>
          <w:highlight w:val="none"/>
        </w:rPr>
      </w:pPr>
    </w:p>
    <w:p>
      <w:pPr>
        <w:jc w:val="center"/>
        <w:rPr>
          <w:rFonts w:hint="default" w:ascii="Times New Roman" w:hAnsi="Times New Roman" w:eastAsia="黑体" w:cs="Times New Roman"/>
          <w:sz w:val="32"/>
          <w:szCs w:val="32"/>
          <w:highlight w:val="none"/>
        </w:rPr>
      </w:pPr>
    </w:p>
    <w:p>
      <w:pPr>
        <w:jc w:val="both"/>
        <w:rPr>
          <w:rFonts w:hint="default" w:ascii="Times New Roman" w:hAnsi="Times New Roman" w:eastAsia="黑体" w:cs="Times New Roman"/>
          <w:sz w:val="32"/>
          <w:szCs w:val="32"/>
          <w:highlight w:val="none"/>
        </w:rPr>
      </w:pPr>
    </w:p>
    <w:p>
      <w:pPr>
        <w:jc w:val="center"/>
        <w:rPr>
          <w:rFonts w:hint="default" w:ascii="Times New Roman" w:hAnsi="Times New Roman" w:eastAsia="黑体" w:cs="Times New Roman"/>
          <w:sz w:val="32"/>
          <w:szCs w:val="32"/>
          <w:highlight w:val="none"/>
        </w:rPr>
      </w:pPr>
    </w:p>
    <w:p>
      <w:pPr>
        <w:jc w:val="center"/>
        <w:rPr>
          <w:rFonts w:hint="default" w:ascii="Times New Roman" w:hAnsi="Times New Roman" w:eastAsia="黑体" w:cs="Times New Roman"/>
          <w:sz w:val="32"/>
          <w:szCs w:val="32"/>
          <w:highlight w:val="none"/>
        </w:rPr>
      </w:pPr>
    </w:p>
    <w:p>
      <w:pPr>
        <w:jc w:val="center"/>
        <w:rPr>
          <w:rFonts w:hint="default" w:ascii="Times New Roman" w:hAnsi="Times New Roman" w:eastAsia="黑体" w:cs="Times New Roman"/>
          <w:sz w:val="32"/>
          <w:szCs w:val="32"/>
          <w:highlight w:val="none"/>
        </w:rPr>
      </w:pPr>
    </w:p>
    <w:p>
      <w:pPr>
        <w:spacing w:line="600" w:lineRule="exact"/>
        <w:jc w:val="center"/>
        <w:rPr>
          <w:rFonts w:hint="default" w:ascii="Times New Roman" w:hAnsi="Times New Roman" w:eastAsia="仿宋_GB2312" w:cs="Times New Roman"/>
          <w:sz w:val="32"/>
          <w:szCs w:val="32"/>
          <w:highlight w:val="none"/>
          <w:u w:val="single"/>
        </w:rPr>
      </w:pPr>
      <w:r>
        <w:rPr>
          <w:rFonts w:hint="default" w:ascii="Times New Roman" w:hAnsi="Times New Roman" w:eastAsia="仿宋_GB2312" w:cs="Times New Roman"/>
          <w:sz w:val="32"/>
          <w:szCs w:val="32"/>
          <w:highlight w:val="none"/>
        </w:rPr>
        <w:t>部门（单位）名称：</w:t>
      </w:r>
      <w:r>
        <w:rPr>
          <w:rFonts w:hint="default" w:ascii="Times New Roman" w:hAnsi="Times New Roman" w:eastAsia="仿宋_GB2312" w:cs="Times New Roman"/>
          <w:sz w:val="32"/>
          <w:szCs w:val="32"/>
          <w:highlight w:val="none"/>
          <w:u w:val="single"/>
        </w:rPr>
        <w:t>（盖章）</w:t>
      </w:r>
    </w:p>
    <w:p>
      <w:pPr>
        <w:spacing w:line="600" w:lineRule="exact"/>
        <w:jc w:val="center"/>
        <w:rPr>
          <w:rFonts w:hint="default" w:ascii="Times New Roman" w:hAnsi="Times New Roman" w:eastAsia="楷体_GB2312" w:cs="Times New Roman"/>
          <w:sz w:val="32"/>
          <w:szCs w:val="32"/>
          <w:highlight w:val="none"/>
        </w:rPr>
      </w:pPr>
      <w:r>
        <w:rPr>
          <w:rFonts w:hint="default" w:ascii="Times New Roman" w:hAnsi="Times New Roman" w:eastAsia="楷体_GB2312" w:cs="Times New Roman"/>
          <w:sz w:val="32"/>
          <w:szCs w:val="32"/>
          <w:highlight w:val="none"/>
        </w:rPr>
        <w:t>年  月  日</w:t>
      </w:r>
    </w:p>
    <w:p>
      <w:pPr>
        <w:jc w:val="center"/>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（此页为封面）</w:t>
      </w:r>
    </w:p>
    <w:p>
      <w:pPr>
        <w:jc w:val="center"/>
        <w:rPr>
          <w:rFonts w:hint="eastAsia" w:ascii="方正小标宋简体" w:hAnsi="方正小标宋简体" w:eastAsia="方正小标宋简体" w:cs="方正小标宋简体"/>
          <w:sz w:val="44"/>
          <w:szCs w:val="44"/>
          <w:highlight w:val="none"/>
        </w:rPr>
      </w:pPr>
      <w:r>
        <w:rPr>
          <w:rFonts w:hint="default" w:ascii="Times New Roman" w:hAnsi="Times New Roman" w:eastAsia="仿宋_GB2312" w:cs="Times New Roman"/>
          <w:sz w:val="32"/>
          <w:szCs w:val="32"/>
          <w:highlight w:val="none"/>
        </w:rPr>
        <w:br w:type="page"/>
      </w:r>
      <w:r>
        <w:rPr>
          <w:rFonts w:hint="eastAsia" w:ascii="方正小标宋简体" w:hAnsi="方正小标宋简体" w:eastAsia="方正小标宋简体" w:cs="方正小标宋简体"/>
          <w:sz w:val="44"/>
          <w:szCs w:val="44"/>
          <w:highlight w:val="none"/>
        </w:rPr>
        <w:t>202</w:t>
      </w:r>
      <w:r>
        <w:rPr>
          <w:rFonts w:hint="eastAsia" w:ascii="方正小标宋简体" w:hAnsi="方正小标宋简体" w:eastAsia="方正小标宋简体" w:cs="方正小标宋简体"/>
          <w:sz w:val="44"/>
          <w:szCs w:val="44"/>
          <w:highlight w:val="none"/>
          <w:lang w:val="en-US" w:eastAsia="zh-CN"/>
        </w:rPr>
        <w:t>3</w:t>
      </w:r>
      <w:r>
        <w:rPr>
          <w:rFonts w:hint="eastAsia" w:ascii="方正小标宋简体" w:hAnsi="方正小标宋简体" w:eastAsia="方正小标宋简体" w:cs="方正小标宋简体"/>
          <w:sz w:val="44"/>
          <w:szCs w:val="44"/>
          <w:highlight w:val="none"/>
        </w:rPr>
        <w:t>年度</w:t>
      </w:r>
      <w:r>
        <w:rPr>
          <w:rFonts w:hint="eastAsia" w:ascii="方正小标宋简体" w:hAnsi="方正小标宋简体" w:eastAsia="方正小标宋简体" w:cs="方正小标宋简体"/>
          <w:sz w:val="44"/>
          <w:szCs w:val="44"/>
          <w:highlight w:val="none"/>
          <w:lang w:val="en-US" w:eastAsia="zh-CN"/>
        </w:rPr>
        <w:t>君山区交通运输综合行政执法大队</w:t>
      </w:r>
      <w:r>
        <w:rPr>
          <w:rFonts w:hint="eastAsia" w:ascii="方正小标宋简体" w:hAnsi="方正小标宋简体" w:eastAsia="方正小标宋简体" w:cs="方正小标宋简体"/>
          <w:sz w:val="44"/>
          <w:szCs w:val="44"/>
          <w:highlight w:val="none"/>
        </w:rPr>
        <w:t>整体支出绩效自评报告</w:t>
      </w:r>
    </w:p>
    <w:p>
      <w:pPr>
        <w:keepNext w:val="0"/>
        <w:keepLines w:val="0"/>
        <w:pageBreakBefore w:val="0"/>
        <w:kinsoku/>
        <w:wordWrap/>
        <w:overflowPunct/>
        <w:topLinePunct w:val="0"/>
        <w:autoSpaceDE/>
        <w:autoSpaceDN/>
        <w:bidi w:val="0"/>
        <w:adjustRightInd/>
        <w:snapToGrid/>
        <w:spacing w:line="640" w:lineRule="exact"/>
        <w:ind w:firstLine="640" w:firstLineChars="200"/>
        <w:jc w:val="both"/>
        <w:textAlignment w:val="auto"/>
        <w:rPr>
          <w:rFonts w:hint="default" w:ascii="Times New Roman" w:hAnsi="Times New Roman" w:eastAsia="仿宋_GB2312" w:cs="Times New Roman"/>
          <w:sz w:val="32"/>
          <w:szCs w:val="32"/>
          <w:highlight w:val="none"/>
        </w:rPr>
      </w:pPr>
    </w:p>
    <w:p>
      <w:pPr>
        <w:keepNext w:val="0"/>
        <w:keepLines w:val="0"/>
        <w:pageBreakBefore w:val="0"/>
        <w:numPr>
          <w:ilvl w:val="0"/>
          <w:numId w:val="1"/>
        </w:numPr>
        <w:kinsoku/>
        <w:wordWrap/>
        <w:overflowPunct/>
        <w:topLinePunct w:val="0"/>
        <w:autoSpaceDE/>
        <w:autoSpaceDN/>
        <w:bidi w:val="0"/>
        <w:adjustRightInd/>
        <w:snapToGrid/>
        <w:spacing w:line="640" w:lineRule="exact"/>
        <w:ind w:firstLine="640" w:firstLineChars="200"/>
        <w:jc w:val="both"/>
        <w:textAlignment w:val="auto"/>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部门（单位）基本情况</w:t>
      </w:r>
    </w:p>
    <w:p>
      <w:pPr>
        <w:widowControl/>
        <w:spacing w:line="600" w:lineRule="exact"/>
        <w:ind w:firstLine="627" w:firstLineChars="196"/>
        <w:jc w:val="left"/>
        <w:rPr>
          <w:rFonts w:hint="eastAsia" w:ascii="仿宋" w:hAnsi="仿宋" w:eastAsia="仿宋" w:cs="仿宋"/>
          <w:b w:val="0"/>
          <w:sz w:val="32"/>
          <w:szCs w:val="32"/>
          <w:lang w:val="en-US" w:eastAsia="zh-CN"/>
        </w:rPr>
      </w:pPr>
      <w:r>
        <w:rPr>
          <w:rFonts w:hint="eastAsia" w:ascii="仿宋" w:hAnsi="仿宋" w:eastAsia="仿宋" w:cs="仿宋"/>
          <w:b w:val="0"/>
          <w:sz w:val="32"/>
          <w:szCs w:val="32"/>
          <w:lang w:val="en-US" w:eastAsia="zh-CN"/>
        </w:rPr>
        <w:t>(一)宣传贯彻执行国家、省、市、区和上级交通主管部门有关交通运输行政执法(含道路运输、公路路政、城市客运、港口航务、交通工程质量安全监督等)的方针、政策和法律法规规章;参与拟订全区交通运输综合行政执法规范性文件草案;参与编制全区交通运输综合行政执法规划;拟定全区交通运输综合行政执法工作计划，并组织实施。</w:t>
      </w:r>
    </w:p>
    <w:p>
      <w:pPr>
        <w:widowControl/>
        <w:spacing w:line="600" w:lineRule="exact"/>
        <w:ind w:firstLine="627" w:firstLineChars="196"/>
        <w:jc w:val="left"/>
        <w:rPr>
          <w:rFonts w:hint="eastAsia" w:ascii="仿宋" w:hAnsi="仿宋" w:eastAsia="仿宋" w:cs="仿宋"/>
          <w:b w:val="0"/>
          <w:sz w:val="32"/>
          <w:szCs w:val="32"/>
          <w:lang w:val="en-US" w:eastAsia="zh-CN"/>
        </w:rPr>
      </w:pPr>
      <w:r>
        <w:rPr>
          <w:rFonts w:hint="eastAsia" w:ascii="仿宋" w:hAnsi="仿宋" w:eastAsia="仿宋" w:cs="仿宋"/>
          <w:b w:val="0"/>
          <w:sz w:val="32"/>
          <w:szCs w:val="32"/>
          <w:lang w:val="en-US" w:eastAsia="zh-CN"/>
        </w:rPr>
        <w:t>(二)依法行使有关法律法规赋予的公路路政、道路运政、城市客运、港口航务、交通工程质量安全监督等交通运输领域的行政处罚权以及与行政处罚相关的行政检查、行政强制等行政执法职能(不包括行使侵占城市道路、违法停放车辆等城市管理行政执法职能).</w:t>
      </w:r>
    </w:p>
    <w:p>
      <w:pPr>
        <w:widowControl/>
        <w:spacing w:line="600" w:lineRule="exact"/>
        <w:ind w:firstLine="627" w:firstLineChars="196"/>
        <w:jc w:val="left"/>
        <w:rPr>
          <w:rFonts w:hint="eastAsia" w:ascii="仿宋" w:hAnsi="仿宋" w:eastAsia="仿宋" w:cs="仿宋"/>
          <w:b w:val="0"/>
          <w:sz w:val="32"/>
          <w:szCs w:val="32"/>
          <w:lang w:val="en-US" w:eastAsia="zh-CN"/>
        </w:rPr>
      </w:pPr>
      <w:r>
        <w:rPr>
          <w:rFonts w:hint="eastAsia" w:ascii="仿宋" w:hAnsi="仿宋" w:eastAsia="仿宋" w:cs="仿宋"/>
          <w:b w:val="0"/>
          <w:sz w:val="32"/>
          <w:szCs w:val="32"/>
          <w:lang w:val="en-US" w:eastAsia="zh-CN"/>
        </w:rPr>
        <w:t>(三)负责全区交通运输综合行政执法的组织、指挥、协调;依法制定全区交通运输综合行政执法的程序、标准、规定并组织实施;负责全区重大复杂交通运输违法案件、跨乡镇、街道交通运输违法案件;承担交通运输综合行政执法有关信访举报、服务投诉及违章抄告等事项的受理、处理等工作。</w:t>
      </w:r>
    </w:p>
    <w:p>
      <w:pPr>
        <w:widowControl/>
        <w:spacing w:line="600" w:lineRule="exact"/>
        <w:ind w:firstLine="627" w:firstLineChars="196"/>
        <w:jc w:val="left"/>
        <w:rPr>
          <w:rFonts w:hint="eastAsia" w:ascii="仿宋" w:hAnsi="仿宋" w:eastAsia="仿宋" w:cs="仿宋"/>
          <w:b w:val="0"/>
          <w:sz w:val="32"/>
          <w:szCs w:val="32"/>
          <w:lang w:val="en-US" w:eastAsia="zh-CN"/>
        </w:rPr>
      </w:pPr>
      <w:r>
        <w:rPr>
          <w:rFonts w:hint="eastAsia" w:ascii="仿宋" w:hAnsi="仿宋" w:eastAsia="仿宋" w:cs="仿宋"/>
          <w:b w:val="0"/>
          <w:sz w:val="32"/>
          <w:szCs w:val="32"/>
          <w:lang w:val="en-US" w:eastAsia="zh-CN"/>
        </w:rPr>
        <w:t>(四)负责依法对交通运输市场主体及从业人员的经营行为实施监督检查，纠正违章违规经营行为，治理货运车辆超限运输，联合整治非法营运，维护交通运输市场秩序。</w:t>
      </w:r>
    </w:p>
    <w:p>
      <w:pPr>
        <w:widowControl/>
        <w:spacing w:line="600" w:lineRule="exact"/>
        <w:ind w:firstLine="627" w:firstLineChars="196"/>
        <w:jc w:val="left"/>
        <w:rPr>
          <w:rFonts w:hint="eastAsia" w:ascii="仿宋" w:hAnsi="仿宋" w:eastAsia="仿宋" w:cs="仿宋"/>
          <w:b w:val="0"/>
          <w:sz w:val="32"/>
          <w:szCs w:val="32"/>
          <w:lang w:val="en-US" w:eastAsia="zh-CN"/>
        </w:rPr>
      </w:pPr>
      <w:r>
        <w:rPr>
          <w:rFonts w:hint="eastAsia" w:ascii="仿宋" w:hAnsi="仿宋" w:eastAsia="仿宋" w:cs="仿宋"/>
          <w:b w:val="0"/>
          <w:sz w:val="32"/>
          <w:szCs w:val="32"/>
          <w:lang w:val="en-US" w:eastAsia="zh-CN"/>
        </w:rPr>
        <w:t>(五)参与交通运输行业诚信体系建设，做好道路运输、城市客运行业质量信誉考核工作。</w:t>
      </w:r>
    </w:p>
    <w:p>
      <w:pPr>
        <w:widowControl/>
        <w:spacing w:line="600" w:lineRule="exact"/>
        <w:ind w:firstLine="627" w:firstLineChars="196"/>
        <w:jc w:val="left"/>
        <w:rPr>
          <w:rFonts w:hint="eastAsia" w:ascii="仿宋" w:hAnsi="仿宋" w:eastAsia="仿宋" w:cs="仿宋"/>
          <w:b w:val="0"/>
          <w:sz w:val="32"/>
          <w:szCs w:val="32"/>
          <w:lang w:val="en-US" w:eastAsia="zh-CN"/>
        </w:rPr>
      </w:pPr>
      <w:r>
        <w:rPr>
          <w:rFonts w:hint="eastAsia" w:ascii="仿宋" w:hAnsi="仿宋" w:eastAsia="仿宋" w:cs="仿宋"/>
          <w:b w:val="0"/>
          <w:sz w:val="32"/>
          <w:szCs w:val="32"/>
          <w:lang w:val="en-US" w:eastAsia="zh-CN"/>
        </w:rPr>
        <w:t>(六)参与全区节假日运输、重大物资运输、抢险救灾、交通战备等应急运输保障工作;配合相关部门做好联合运输工作。</w:t>
      </w:r>
    </w:p>
    <w:p>
      <w:pPr>
        <w:widowControl/>
        <w:spacing w:line="600" w:lineRule="exact"/>
        <w:ind w:firstLine="627" w:firstLineChars="196"/>
        <w:jc w:val="left"/>
        <w:rPr>
          <w:rFonts w:hint="eastAsia" w:ascii="仿宋" w:hAnsi="仿宋" w:eastAsia="仿宋" w:cs="仿宋"/>
          <w:b w:val="0"/>
          <w:sz w:val="32"/>
          <w:szCs w:val="32"/>
          <w:lang w:val="en-US" w:eastAsia="zh-CN"/>
        </w:rPr>
      </w:pPr>
      <w:r>
        <w:rPr>
          <w:rFonts w:hint="eastAsia" w:ascii="仿宋" w:hAnsi="仿宋" w:eastAsia="仿宋" w:cs="仿宋"/>
          <w:b w:val="0"/>
          <w:sz w:val="32"/>
          <w:szCs w:val="32"/>
          <w:lang w:val="en-US" w:eastAsia="zh-CN"/>
        </w:rPr>
        <w:t>(七)组织或参与跨行业、跨地区联合执法行动。</w:t>
      </w:r>
    </w:p>
    <w:p>
      <w:pPr>
        <w:widowControl/>
        <w:spacing w:line="600" w:lineRule="exact"/>
        <w:ind w:firstLine="627" w:firstLineChars="196"/>
        <w:jc w:val="left"/>
        <w:rPr>
          <w:rFonts w:hint="default" w:ascii="Times New Roman" w:hAnsi="Times New Roman" w:eastAsia="黑体" w:cs="Times New Roman"/>
          <w:sz w:val="32"/>
          <w:szCs w:val="32"/>
          <w:highlight w:val="none"/>
        </w:rPr>
      </w:pPr>
      <w:r>
        <w:rPr>
          <w:rFonts w:hint="eastAsia" w:ascii="仿宋" w:hAnsi="仿宋" w:eastAsia="仿宋" w:cs="仿宋"/>
          <w:b w:val="0"/>
          <w:sz w:val="32"/>
          <w:szCs w:val="32"/>
          <w:lang w:val="en-US" w:eastAsia="zh-CN"/>
        </w:rPr>
        <w:t>(八)完成上级部门交办的其他工作。</w:t>
      </w:r>
    </w:p>
    <w:p>
      <w:pPr>
        <w:keepNext w:val="0"/>
        <w:keepLines w:val="0"/>
        <w:pageBreakBefore w:val="0"/>
        <w:numPr>
          <w:ilvl w:val="0"/>
          <w:numId w:val="0"/>
        </w:numPr>
        <w:kinsoku/>
        <w:wordWrap/>
        <w:overflowPunct/>
        <w:topLinePunct w:val="0"/>
        <w:autoSpaceDE/>
        <w:autoSpaceDN/>
        <w:bidi w:val="0"/>
        <w:adjustRightInd/>
        <w:snapToGrid/>
        <w:spacing w:line="640" w:lineRule="exact"/>
        <w:jc w:val="both"/>
        <w:textAlignment w:val="auto"/>
        <w:rPr>
          <w:rFonts w:hint="default" w:ascii="Times New Roman" w:hAnsi="Times New Roman" w:eastAsia="黑体" w:cs="Times New Roman"/>
          <w:sz w:val="32"/>
          <w:szCs w:val="32"/>
          <w:highlight w:val="none"/>
        </w:rPr>
      </w:pPr>
    </w:p>
    <w:p>
      <w:pPr>
        <w:pStyle w:val="6"/>
        <w:keepNext w:val="0"/>
        <w:keepLines w:val="0"/>
        <w:pageBreakBefore w:val="0"/>
        <w:widowControl/>
        <w:kinsoku/>
        <w:wordWrap/>
        <w:overflowPunct/>
        <w:topLinePunct w:val="0"/>
        <w:autoSpaceDE/>
        <w:autoSpaceDN/>
        <w:bidi w:val="0"/>
        <w:adjustRightInd/>
        <w:snapToGrid/>
        <w:spacing w:line="640" w:lineRule="exact"/>
        <w:ind w:firstLine="640" w:firstLineChars="200"/>
        <w:jc w:val="both"/>
        <w:textAlignment w:val="auto"/>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二、一般公共预算支出情况</w:t>
      </w:r>
    </w:p>
    <w:p>
      <w:pPr>
        <w:pStyle w:val="6"/>
        <w:keepNext w:val="0"/>
        <w:keepLines w:val="0"/>
        <w:pageBreakBefore w:val="0"/>
        <w:widowControl/>
        <w:kinsoku/>
        <w:wordWrap/>
        <w:overflowPunct/>
        <w:topLinePunct w:val="0"/>
        <w:autoSpaceDE/>
        <w:autoSpaceDN/>
        <w:bidi w:val="0"/>
        <w:adjustRightInd/>
        <w:snapToGrid/>
        <w:spacing w:line="640" w:lineRule="exact"/>
        <w:ind w:firstLine="643" w:firstLineChars="200"/>
        <w:jc w:val="both"/>
        <w:textAlignment w:val="auto"/>
        <w:rPr>
          <w:rFonts w:hint="default" w:ascii="Times New Roman" w:hAnsi="Times New Roman" w:eastAsia="楷体_GB2312" w:cs="Times New Roman"/>
          <w:b/>
          <w:sz w:val="32"/>
          <w:szCs w:val="32"/>
          <w:highlight w:val="none"/>
        </w:rPr>
      </w:pPr>
      <w:r>
        <w:rPr>
          <w:rFonts w:hint="default" w:ascii="Times New Roman" w:hAnsi="Times New Roman" w:eastAsia="楷体_GB2312" w:cs="Times New Roman"/>
          <w:b/>
          <w:sz w:val="32"/>
          <w:szCs w:val="32"/>
          <w:highlight w:val="none"/>
        </w:rPr>
        <w:t>（一）基本支出情况</w:t>
      </w:r>
    </w:p>
    <w:p>
      <w:pPr>
        <w:pStyle w:val="6"/>
        <w:keepNext w:val="0"/>
        <w:keepLines w:val="0"/>
        <w:pageBreakBefore w:val="0"/>
        <w:widowControl/>
        <w:kinsoku/>
        <w:wordWrap/>
        <w:overflowPunct/>
        <w:topLinePunct w:val="0"/>
        <w:autoSpaceDE/>
        <w:autoSpaceDN/>
        <w:bidi w:val="0"/>
        <w:adjustRightInd/>
        <w:snapToGrid/>
        <w:spacing w:line="640" w:lineRule="exact"/>
        <w:ind w:firstLine="640" w:firstLineChars="200"/>
        <w:jc w:val="both"/>
        <w:textAlignment w:val="auto"/>
        <w:rPr>
          <w:rFonts w:hint="eastAsia" w:ascii="仿宋" w:hAnsi="仿宋" w:eastAsia="仿宋" w:cs="仿宋"/>
          <w:b w:val="0"/>
          <w:bCs/>
          <w:sz w:val="32"/>
          <w:szCs w:val="32"/>
          <w:highlight w:val="none"/>
          <w:lang w:val="en-US" w:eastAsia="zh-CN"/>
        </w:rPr>
      </w:pPr>
      <w:r>
        <w:rPr>
          <w:rFonts w:hint="eastAsia" w:ascii="仿宋" w:hAnsi="仿宋" w:eastAsia="仿宋" w:cs="仿宋"/>
          <w:b w:val="0"/>
          <w:bCs/>
          <w:sz w:val="32"/>
          <w:szCs w:val="32"/>
          <w:highlight w:val="none"/>
          <w:lang w:val="en-US" w:eastAsia="zh-CN"/>
        </w:rPr>
        <w:t>基本支出1319.3万元，其中工资性支出782.15万元，社会保险缴费152.19万元，住房公积金70.46万元，其他工资附加性支出25.49万元，对个人和家庭补助4.6万元，公用经费104.4万元，其他运转类180万元。</w:t>
      </w:r>
    </w:p>
    <w:p>
      <w:pPr>
        <w:pStyle w:val="6"/>
        <w:keepNext w:val="0"/>
        <w:keepLines w:val="0"/>
        <w:pageBreakBefore w:val="0"/>
        <w:widowControl/>
        <w:numPr>
          <w:ilvl w:val="0"/>
          <w:numId w:val="2"/>
        </w:numPr>
        <w:kinsoku/>
        <w:wordWrap/>
        <w:overflowPunct/>
        <w:topLinePunct w:val="0"/>
        <w:autoSpaceDE/>
        <w:autoSpaceDN/>
        <w:bidi w:val="0"/>
        <w:adjustRightInd/>
        <w:snapToGrid/>
        <w:spacing w:line="640" w:lineRule="exact"/>
        <w:ind w:firstLine="643" w:firstLineChars="200"/>
        <w:jc w:val="both"/>
        <w:textAlignment w:val="auto"/>
        <w:rPr>
          <w:rFonts w:hint="default" w:ascii="Times New Roman" w:hAnsi="Times New Roman" w:eastAsia="楷体_GB2312" w:cs="Times New Roman"/>
          <w:b/>
          <w:sz w:val="32"/>
          <w:szCs w:val="32"/>
          <w:highlight w:val="none"/>
        </w:rPr>
      </w:pPr>
      <w:r>
        <w:rPr>
          <w:rFonts w:hint="default" w:ascii="Times New Roman" w:hAnsi="Times New Roman" w:eastAsia="楷体_GB2312" w:cs="Times New Roman"/>
          <w:b/>
          <w:sz w:val="32"/>
          <w:szCs w:val="32"/>
          <w:highlight w:val="none"/>
        </w:rPr>
        <w:t>项目支出情况</w:t>
      </w:r>
    </w:p>
    <w:p>
      <w:pPr>
        <w:pStyle w:val="6"/>
        <w:keepNext w:val="0"/>
        <w:keepLines w:val="0"/>
        <w:pageBreakBefore w:val="0"/>
        <w:widowControl/>
        <w:kinsoku/>
        <w:wordWrap/>
        <w:overflowPunct/>
        <w:topLinePunct w:val="0"/>
        <w:autoSpaceDE/>
        <w:autoSpaceDN/>
        <w:bidi w:val="0"/>
        <w:adjustRightInd/>
        <w:snapToGrid/>
        <w:spacing w:line="640" w:lineRule="exact"/>
        <w:ind w:firstLine="640" w:firstLineChars="200"/>
        <w:jc w:val="both"/>
        <w:textAlignment w:val="auto"/>
        <w:rPr>
          <w:rFonts w:hint="eastAsia" w:ascii="Times New Roman" w:hAnsi="Times New Roman" w:eastAsia="楷体_GB2312" w:cs="Times New Roman"/>
          <w:b w:val="0"/>
          <w:bCs/>
          <w:sz w:val="32"/>
          <w:szCs w:val="32"/>
          <w:highlight w:val="none"/>
          <w:lang w:val="en-US" w:eastAsia="zh-CN"/>
        </w:rPr>
      </w:pPr>
      <w:r>
        <w:rPr>
          <w:rFonts w:hint="eastAsia" w:ascii="Times New Roman" w:hAnsi="Times New Roman" w:eastAsia="楷体_GB2312" w:cs="Times New Roman"/>
          <w:b w:val="0"/>
          <w:bCs/>
          <w:sz w:val="32"/>
          <w:szCs w:val="32"/>
          <w:highlight w:val="none"/>
          <w:lang w:val="en-US" w:eastAsia="zh-CN"/>
        </w:rPr>
        <w:t>无</w:t>
      </w:r>
    </w:p>
    <w:p>
      <w:pPr>
        <w:pStyle w:val="6"/>
        <w:keepNext w:val="0"/>
        <w:keepLines w:val="0"/>
        <w:pageBreakBefore w:val="0"/>
        <w:widowControl/>
        <w:kinsoku/>
        <w:wordWrap/>
        <w:overflowPunct/>
        <w:topLinePunct w:val="0"/>
        <w:autoSpaceDE/>
        <w:autoSpaceDN/>
        <w:bidi w:val="0"/>
        <w:adjustRightInd/>
        <w:snapToGrid/>
        <w:spacing w:line="640" w:lineRule="exact"/>
        <w:ind w:firstLine="640" w:firstLineChars="200"/>
        <w:jc w:val="both"/>
        <w:textAlignment w:val="auto"/>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三、政府性基金预算支出情况</w:t>
      </w:r>
    </w:p>
    <w:p>
      <w:pPr>
        <w:pStyle w:val="6"/>
        <w:keepNext w:val="0"/>
        <w:keepLines w:val="0"/>
        <w:pageBreakBefore w:val="0"/>
        <w:widowControl/>
        <w:kinsoku/>
        <w:wordWrap/>
        <w:overflowPunct/>
        <w:topLinePunct w:val="0"/>
        <w:autoSpaceDE/>
        <w:autoSpaceDN/>
        <w:bidi w:val="0"/>
        <w:adjustRightInd/>
        <w:snapToGrid/>
        <w:spacing w:line="640" w:lineRule="exact"/>
        <w:ind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无</w:t>
      </w:r>
    </w:p>
    <w:p>
      <w:pPr>
        <w:pStyle w:val="6"/>
        <w:keepNext w:val="0"/>
        <w:keepLines w:val="0"/>
        <w:pageBreakBefore w:val="0"/>
        <w:widowControl/>
        <w:numPr>
          <w:ilvl w:val="0"/>
          <w:numId w:val="3"/>
        </w:numPr>
        <w:kinsoku/>
        <w:wordWrap/>
        <w:overflowPunct/>
        <w:topLinePunct w:val="0"/>
        <w:autoSpaceDE/>
        <w:autoSpaceDN/>
        <w:bidi w:val="0"/>
        <w:adjustRightInd/>
        <w:snapToGrid/>
        <w:spacing w:line="640" w:lineRule="exact"/>
        <w:ind w:firstLine="640" w:firstLineChars="200"/>
        <w:jc w:val="both"/>
        <w:textAlignment w:val="auto"/>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国有资本经营预算支出情况</w:t>
      </w:r>
    </w:p>
    <w:p>
      <w:pPr>
        <w:pStyle w:val="6"/>
        <w:keepNext w:val="0"/>
        <w:keepLines w:val="0"/>
        <w:pageBreakBefore w:val="0"/>
        <w:widowControl/>
        <w:numPr>
          <w:ilvl w:val="0"/>
          <w:numId w:val="0"/>
        </w:numPr>
        <w:kinsoku/>
        <w:wordWrap/>
        <w:overflowPunct/>
        <w:topLinePunct w:val="0"/>
        <w:autoSpaceDE/>
        <w:autoSpaceDN/>
        <w:bidi w:val="0"/>
        <w:adjustRightInd/>
        <w:snapToGrid/>
        <w:spacing w:line="640" w:lineRule="exact"/>
        <w:ind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无</w:t>
      </w:r>
    </w:p>
    <w:p>
      <w:pPr>
        <w:pStyle w:val="6"/>
        <w:keepNext w:val="0"/>
        <w:keepLines w:val="0"/>
        <w:pageBreakBefore w:val="0"/>
        <w:widowControl/>
        <w:numPr>
          <w:ilvl w:val="0"/>
          <w:numId w:val="3"/>
        </w:numPr>
        <w:kinsoku/>
        <w:wordWrap/>
        <w:overflowPunct/>
        <w:topLinePunct w:val="0"/>
        <w:autoSpaceDE/>
        <w:autoSpaceDN/>
        <w:bidi w:val="0"/>
        <w:adjustRightInd/>
        <w:snapToGrid/>
        <w:spacing w:line="640" w:lineRule="exact"/>
        <w:ind w:left="0" w:leftChars="0" w:firstLine="640" w:firstLineChars="200"/>
        <w:jc w:val="both"/>
        <w:textAlignment w:val="auto"/>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社会保险基金预算支出情况</w:t>
      </w:r>
    </w:p>
    <w:p>
      <w:pPr>
        <w:pStyle w:val="6"/>
        <w:keepNext w:val="0"/>
        <w:keepLines w:val="0"/>
        <w:pageBreakBefore w:val="0"/>
        <w:widowControl/>
        <w:numPr>
          <w:ilvl w:val="0"/>
          <w:numId w:val="0"/>
        </w:numPr>
        <w:kinsoku/>
        <w:wordWrap/>
        <w:overflowPunct/>
        <w:topLinePunct w:val="0"/>
        <w:autoSpaceDE/>
        <w:autoSpaceDN/>
        <w:bidi w:val="0"/>
        <w:adjustRightInd/>
        <w:snapToGrid/>
        <w:spacing w:line="640" w:lineRule="exact"/>
        <w:ind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无</w:t>
      </w:r>
    </w:p>
    <w:p>
      <w:pPr>
        <w:keepNext w:val="0"/>
        <w:keepLines w:val="0"/>
        <w:pageBreakBefore w:val="0"/>
        <w:widowControl/>
        <w:numPr>
          <w:ilvl w:val="0"/>
          <w:numId w:val="3"/>
        </w:numPr>
        <w:kinsoku/>
        <w:wordWrap/>
        <w:overflowPunct/>
        <w:topLinePunct w:val="0"/>
        <w:autoSpaceDE/>
        <w:autoSpaceDN/>
        <w:bidi w:val="0"/>
        <w:adjustRightInd/>
        <w:snapToGrid/>
        <w:spacing w:line="640" w:lineRule="exact"/>
        <w:ind w:left="0" w:leftChars="0" w:firstLine="640" w:firstLineChars="200"/>
        <w:jc w:val="both"/>
        <w:textAlignment w:val="auto"/>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部门整体支出绩效情况</w:t>
      </w:r>
    </w:p>
    <w:p>
      <w:pPr>
        <w:keepNext w:val="0"/>
        <w:keepLines w:val="0"/>
        <w:pageBreakBefore w:val="0"/>
        <w:widowControl/>
        <w:numPr>
          <w:ilvl w:val="0"/>
          <w:numId w:val="0"/>
        </w:numPr>
        <w:kinsoku/>
        <w:wordWrap/>
        <w:overflowPunct/>
        <w:topLinePunct w:val="0"/>
        <w:autoSpaceDE/>
        <w:autoSpaceDN/>
        <w:bidi w:val="0"/>
        <w:adjustRightInd/>
        <w:snapToGrid/>
        <w:spacing w:line="640" w:lineRule="exact"/>
        <w:ind w:firstLine="640" w:firstLineChars="200"/>
        <w:jc w:val="both"/>
        <w:textAlignment w:val="auto"/>
        <w:rPr>
          <w:rFonts w:hint="default" w:ascii="仿宋" w:hAnsi="仿宋" w:eastAsia="仿宋" w:cs="仿宋"/>
          <w:sz w:val="32"/>
          <w:szCs w:val="32"/>
          <w:highlight w:val="none"/>
          <w:lang w:val="en-US" w:eastAsia="zh-CN"/>
        </w:rPr>
      </w:pPr>
      <w:r>
        <w:rPr>
          <w:rFonts w:hint="eastAsia" w:eastAsia="仿宋" w:cs="仿宋"/>
          <w:sz w:val="32"/>
          <w:szCs w:val="32"/>
          <w:highlight w:val="none"/>
          <w:lang w:val="en-US" w:eastAsia="zh-CN"/>
        </w:rPr>
        <w:t>预期</w:t>
      </w:r>
      <w:r>
        <w:rPr>
          <w:rFonts w:hint="eastAsia" w:ascii="仿宋" w:hAnsi="仿宋" w:eastAsia="仿宋" w:cs="仿宋"/>
          <w:sz w:val="32"/>
          <w:szCs w:val="32"/>
          <w:highlight w:val="none"/>
        </w:rPr>
        <w:t>目标1：严厉查处超载超限行为，保障交通运输行政执法工作有序开展。目标2：做好交通运输安全执法工作。目标3：受理、查处全区交通运输行政执法有关的投诉举报及处理。目标4：严格控制工作经费的使用进度、使用范围，确保工作正常运转。</w:t>
      </w:r>
      <w:r>
        <w:rPr>
          <w:rFonts w:hint="eastAsia" w:eastAsia="仿宋" w:cs="仿宋"/>
          <w:sz w:val="32"/>
          <w:szCs w:val="32"/>
          <w:highlight w:val="none"/>
          <w:lang w:val="en-US" w:eastAsia="zh-CN"/>
        </w:rPr>
        <w:t>实际完成交通运输行政执法检查工作12次；全面加强交通运输安全执法检查工作12次；道路运输行业“隐患清零”行动12次，交通问题顽瘴痼疾整治90分以上；交通运输行业检查12次，项目完成及时率100%。</w:t>
      </w:r>
    </w:p>
    <w:p>
      <w:pPr>
        <w:pStyle w:val="6"/>
        <w:keepNext w:val="0"/>
        <w:keepLines w:val="0"/>
        <w:pageBreakBefore w:val="0"/>
        <w:widowControl/>
        <w:numPr>
          <w:ilvl w:val="0"/>
          <w:numId w:val="3"/>
        </w:numPr>
        <w:kinsoku/>
        <w:wordWrap/>
        <w:overflowPunct/>
        <w:topLinePunct w:val="0"/>
        <w:autoSpaceDE/>
        <w:autoSpaceDN/>
        <w:bidi w:val="0"/>
        <w:adjustRightInd/>
        <w:snapToGrid/>
        <w:spacing w:line="640" w:lineRule="exact"/>
        <w:ind w:left="0" w:leftChars="0" w:firstLine="640" w:firstLineChars="200"/>
        <w:jc w:val="both"/>
        <w:textAlignment w:val="auto"/>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存在的问题及原因分析</w:t>
      </w:r>
    </w:p>
    <w:p>
      <w:pPr>
        <w:pStyle w:val="6"/>
        <w:keepNext w:val="0"/>
        <w:keepLines w:val="0"/>
        <w:pageBreakBefore w:val="0"/>
        <w:widowControl/>
        <w:numPr>
          <w:ilvl w:val="0"/>
          <w:numId w:val="0"/>
        </w:numPr>
        <w:kinsoku/>
        <w:wordWrap/>
        <w:overflowPunct/>
        <w:topLinePunct w:val="0"/>
        <w:autoSpaceDE/>
        <w:autoSpaceDN/>
        <w:bidi w:val="0"/>
        <w:adjustRightInd/>
        <w:snapToGrid/>
        <w:spacing w:line="640" w:lineRule="exact"/>
        <w:ind w:firstLine="640" w:firstLineChars="200"/>
        <w:jc w:val="both"/>
        <w:textAlignment w:val="auto"/>
        <w:rPr>
          <w:rFonts w:hint="default" w:ascii="Times New Roman" w:hAnsi="Times New Roman" w:eastAsia="黑体" w:cs="Times New Roman"/>
          <w:sz w:val="32"/>
          <w:szCs w:val="32"/>
          <w:highlight w:val="none"/>
          <w:lang w:val="en-US" w:eastAsia="zh-CN"/>
        </w:rPr>
      </w:pPr>
      <w:r>
        <w:rPr>
          <w:rFonts w:hint="eastAsia" w:eastAsia="仿宋" w:cs="仿宋"/>
          <w:sz w:val="32"/>
          <w:szCs w:val="32"/>
          <w:highlight w:val="none"/>
          <w:lang w:val="en-US" w:eastAsia="zh-CN"/>
        </w:rPr>
        <w:t>交通问题顽瘴痼疾整治90分以上，未达到要求92分，主要由于检查工作不够细致，检查范围不广。</w:t>
      </w:r>
    </w:p>
    <w:p>
      <w:pPr>
        <w:keepNext w:val="0"/>
        <w:keepLines w:val="0"/>
        <w:pageBreakBefore w:val="0"/>
        <w:widowControl/>
        <w:numPr>
          <w:ilvl w:val="0"/>
          <w:numId w:val="4"/>
        </w:numPr>
        <w:kinsoku/>
        <w:wordWrap/>
        <w:overflowPunct/>
        <w:topLinePunct w:val="0"/>
        <w:autoSpaceDE/>
        <w:autoSpaceDN/>
        <w:bidi w:val="0"/>
        <w:adjustRightInd/>
        <w:snapToGrid/>
        <w:spacing w:line="640" w:lineRule="exact"/>
        <w:ind w:firstLine="640" w:firstLineChars="200"/>
        <w:jc w:val="both"/>
        <w:textAlignment w:val="auto"/>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下一步改进措施</w:t>
      </w:r>
    </w:p>
    <w:p>
      <w:pPr>
        <w:keepNext w:val="0"/>
        <w:keepLines w:val="0"/>
        <w:pageBreakBefore w:val="0"/>
        <w:widowControl/>
        <w:numPr>
          <w:ilvl w:val="0"/>
          <w:numId w:val="0"/>
        </w:numPr>
        <w:kinsoku/>
        <w:wordWrap/>
        <w:overflowPunct/>
        <w:topLinePunct w:val="0"/>
        <w:autoSpaceDE/>
        <w:autoSpaceDN/>
        <w:bidi w:val="0"/>
        <w:adjustRightInd/>
        <w:snapToGrid/>
        <w:spacing w:line="640" w:lineRule="exact"/>
        <w:jc w:val="both"/>
        <w:textAlignment w:val="auto"/>
        <w:rPr>
          <w:rFonts w:hint="eastAsia" w:ascii="仿宋" w:hAnsi="仿宋" w:eastAsia="仿宋" w:cs="仿宋"/>
          <w:sz w:val="32"/>
          <w:szCs w:val="32"/>
          <w:highlight w:val="none"/>
          <w:lang w:val="en-US" w:eastAsia="zh-CN"/>
        </w:rPr>
      </w:pPr>
      <w:r>
        <w:rPr>
          <w:rFonts w:hint="eastAsia" w:ascii="Times New Roman" w:hAnsi="Times New Roman" w:eastAsia="黑体" w:cs="Times New Roman"/>
          <w:sz w:val="32"/>
          <w:szCs w:val="32"/>
          <w:highlight w:val="none"/>
          <w:lang w:val="en-US" w:eastAsia="zh-CN"/>
        </w:rPr>
        <w:t xml:space="preserve">     </w:t>
      </w:r>
      <w:r>
        <w:rPr>
          <w:rFonts w:hint="eastAsia" w:ascii="仿宋" w:hAnsi="仿宋" w:eastAsia="仿宋" w:cs="仿宋"/>
          <w:sz w:val="32"/>
          <w:szCs w:val="32"/>
          <w:highlight w:val="none"/>
          <w:lang w:val="en-US" w:eastAsia="zh-CN"/>
        </w:rPr>
        <w:t>进一步加强“隐患清零”行动检查次数，扩大检查范围</w:t>
      </w:r>
      <w:r>
        <w:rPr>
          <w:rFonts w:hint="eastAsia" w:eastAsia="仿宋" w:cs="仿宋"/>
          <w:sz w:val="32"/>
          <w:szCs w:val="32"/>
          <w:highlight w:val="none"/>
          <w:lang w:val="en-US" w:eastAsia="zh-CN"/>
        </w:rPr>
        <w:t>。</w:t>
      </w:r>
    </w:p>
    <w:p>
      <w:pPr>
        <w:keepNext w:val="0"/>
        <w:keepLines w:val="0"/>
        <w:pageBreakBefore w:val="0"/>
        <w:widowControl/>
        <w:kinsoku/>
        <w:wordWrap/>
        <w:overflowPunct/>
        <w:topLinePunct w:val="0"/>
        <w:autoSpaceDE/>
        <w:autoSpaceDN/>
        <w:bidi w:val="0"/>
        <w:adjustRightInd/>
        <w:snapToGrid/>
        <w:spacing w:line="640" w:lineRule="exact"/>
        <w:ind w:firstLine="640" w:firstLineChars="200"/>
        <w:jc w:val="both"/>
        <w:textAlignment w:val="auto"/>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九、部门整体支出绩效自评结果拟应用和公开情况</w:t>
      </w:r>
    </w:p>
    <w:p>
      <w:pPr>
        <w:keepNext w:val="0"/>
        <w:keepLines w:val="0"/>
        <w:pageBreakBefore w:val="0"/>
        <w:widowControl/>
        <w:kinsoku/>
        <w:wordWrap/>
        <w:overflowPunct/>
        <w:topLinePunct w:val="0"/>
        <w:autoSpaceDE/>
        <w:autoSpaceDN/>
        <w:bidi w:val="0"/>
        <w:adjustRightInd/>
        <w:snapToGrid/>
        <w:spacing w:line="640" w:lineRule="exact"/>
        <w:ind w:firstLine="640" w:firstLineChars="200"/>
        <w:jc w:val="both"/>
        <w:textAlignment w:val="auto"/>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其他需要说明的情况</w:t>
      </w:r>
    </w:p>
    <w:p>
      <w:pPr>
        <w:keepNext w:val="0"/>
        <w:keepLines w:val="0"/>
        <w:pageBreakBefore w:val="0"/>
        <w:widowControl/>
        <w:kinsoku/>
        <w:wordWrap/>
        <w:overflowPunct/>
        <w:topLinePunct w:val="0"/>
        <w:autoSpaceDE/>
        <w:autoSpaceDN/>
        <w:bidi w:val="0"/>
        <w:adjustRightInd/>
        <w:snapToGrid/>
        <w:spacing w:line="640" w:lineRule="exact"/>
        <w:ind w:firstLine="640" w:firstLineChars="200"/>
        <w:jc w:val="both"/>
        <w:textAlignment w:val="auto"/>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无</w:t>
      </w:r>
    </w:p>
    <w:p>
      <w:pPr>
        <w:keepNext w:val="0"/>
        <w:keepLines w:val="0"/>
        <w:pageBreakBefore w:val="0"/>
        <w:widowControl/>
        <w:kinsoku/>
        <w:wordWrap/>
        <w:overflowPunct/>
        <w:topLinePunct w:val="0"/>
        <w:autoSpaceDE/>
        <w:autoSpaceDN/>
        <w:bidi w:val="0"/>
        <w:adjustRightInd/>
        <w:snapToGrid/>
        <w:spacing w:line="640" w:lineRule="exact"/>
        <w:jc w:val="both"/>
        <w:textAlignment w:val="auto"/>
        <w:rPr>
          <w:rFonts w:hint="eastAsia" w:ascii="黑体" w:hAnsi="黑体" w:eastAsia="黑体" w:cs="黑体"/>
          <w:sz w:val="32"/>
          <w:szCs w:val="32"/>
          <w:highlight w:val="none"/>
          <w:lang w:val="en-US" w:eastAsia="zh-CN"/>
        </w:rPr>
      </w:pPr>
      <w:r>
        <w:rPr>
          <w:rFonts w:hint="eastAsia" w:ascii="仿宋_GB2312" w:hAnsi="仿宋_GB2312" w:eastAsia="仿宋_GB2312" w:cs="仿宋_GB2312"/>
          <w:sz w:val="32"/>
          <w:szCs w:val="32"/>
          <w:highlight w:val="none"/>
        </w:rPr>
        <w:br w:type="page"/>
      </w:r>
      <w:r>
        <w:rPr>
          <w:rFonts w:hint="eastAsia" w:ascii="黑体" w:hAnsi="黑体" w:eastAsia="黑体" w:cs="黑体"/>
          <w:sz w:val="32"/>
          <w:szCs w:val="32"/>
          <w:highlight w:val="none"/>
        </w:rPr>
        <w:t>附件</w:t>
      </w:r>
      <w:r>
        <w:rPr>
          <w:rFonts w:hint="eastAsia" w:ascii="黑体" w:hAnsi="黑体" w:eastAsia="黑体" w:cs="黑体"/>
          <w:sz w:val="32"/>
          <w:szCs w:val="32"/>
          <w:highlight w:val="none"/>
          <w:lang w:val="en-US" w:eastAsia="zh-CN"/>
        </w:rPr>
        <w:t>5</w:t>
      </w:r>
    </w:p>
    <w:p>
      <w:pPr>
        <w:spacing w:before="120" w:beforeLines="50" w:after="120" w:afterLines="50"/>
        <w:jc w:val="center"/>
        <w:rPr>
          <w:rFonts w:hint="eastAsia" w:ascii="方正小标宋简体" w:hAnsi="方正小标宋简体" w:eastAsia="方正小标宋简体" w:cs="方正小标宋简体"/>
          <w:spacing w:val="-6"/>
          <w:sz w:val="36"/>
          <w:szCs w:val="36"/>
          <w:highlight w:val="none"/>
        </w:rPr>
      </w:pPr>
      <w:r>
        <w:rPr>
          <w:rFonts w:hint="eastAsia" w:ascii="方正小标宋简体" w:hAnsi="方正小标宋简体" w:eastAsia="方正小标宋简体" w:cs="方正小标宋简体"/>
          <w:sz w:val="36"/>
          <w:szCs w:val="36"/>
          <w:highlight w:val="none"/>
        </w:rPr>
        <w:t>部门整体支出</w:t>
      </w:r>
      <w:r>
        <w:rPr>
          <w:rFonts w:hint="eastAsia" w:ascii="方正小标宋简体" w:hAnsi="方正小标宋简体" w:eastAsia="方正小标宋简体" w:cs="方正小标宋简体"/>
          <w:spacing w:val="-6"/>
          <w:sz w:val="36"/>
          <w:szCs w:val="36"/>
          <w:highlight w:val="none"/>
        </w:rPr>
        <w:t>绩效自评工作考核评分表</w:t>
      </w:r>
    </w:p>
    <w:tbl>
      <w:tblPr>
        <w:tblStyle w:val="3"/>
        <w:tblW w:w="9941" w:type="dxa"/>
        <w:jc w:val="center"/>
        <w:tblLayout w:type="fixed"/>
        <w:tblCellMar>
          <w:top w:w="0" w:type="dxa"/>
          <w:left w:w="108" w:type="dxa"/>
          <w:bottom w:w="0" w:type="dxa"/>
          <w:right w:w="108" w:type="dxa"/>
        </w:tblCellMar>
      </w:tblPr>
      <w:tblGrid>
        <w:gridCol w:w="745"/>
        <w:gridCol w:w="1174"/>
        <w:gridCol w:w="5000"/>
        <w:gridCol w:w="3022"/>
      </w:tblGrid>
      <w:tr>
        <w:tblPrEx>
          <w:tblCellMar>
            <w:top w:w="0" w:type="dxa"/>
            <w:left w:w="108" w:type="dxa"/>
            <w:bottom w:w="0" w:type="dxa"/>
            <w:right w:w="108" w:type="dxa"/>
          </w:tblCellMar>
        </w:tblPrEx>
        <w:trPr>
          <w:tblHeader/>
          <w:jc w:val="center"/>
        </w:trPr>
        <w:tc>
          <w:tcPr>
            <w:tcW w:w="74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Times New Roman" w:hAnsi="Times New Roman" w:eastAsia="黑体" w:cs="Times New Roman"/>
                <w:bCs/>
                <w:sz w:val="21"/>
                <w:szCs w:val="21"/>
                <w:highlight w:val="none"/>
              </w:rPr>
            </w:pPr>
            <w:r>
              <w:rPr>
                <w:rFonts w:hint="default" w:ascii="Times New Roman" w:hAnsi="Times New Roman" w:eastAsia="黑体" w:cs="Times New Roman"/>
                <w:bCs/>
                <w:sz w:val="21"/>
                <w:szCs w:val="21"/>
                <w:highlight w:val="none"/>
              </w:rPr>
              <w:t>一级指标</w:t>
            </w:r>
          </w:p>
        </w:tc>
        <w:tc>
          <w:tcPr>
            <w:tcW w:w="1174" w:type="dxa"/>
            <w:tcBorders>
              <w:top w:val="single" w:color="auto" w:sz="4" w:space="0"/>
              <w:left w:val="nil"/>
              <w:bottom w:val="single" w:color="auto" w:sz="4" w:space="0"/>
              <w:right w:val="single" w:color="auto" w:sz="4" w:space="0"/>
            </w:tcBorders>
            <w:noWrap w:val="0"/>
            <w:vAlign w:val="center"/>
          </w:tcPr>
          <w:p>
            <w:pPr>
              <w:spacing w:line="300" w:lineRule="exact"/>
              <w:jc w:val="center"/>
              <w:rPr>
                <w:rFonts w:hint="default" w:ascii="Times New Roman" w:hAnsi="Times New Roman" w:eastAsia="黑体" w:cs="Times New Roman"/>
                <w:bCs/>
                <w:sz w:val="21"/>
                <w:szCs w:val="21"/>
                <w:highlight w:val="none"/>
              </w:rPr>
            </w:pPr>
            <w:r>
              <w:rPr>
                <w:rFonts w:hint="default" w:ascii="Times New Roman" w:hAnsi="Times New Roman" w:eastAsia="黑体" w:cs="Times New Roman"/>
                <w:bCs/>
                <w:sz w:val="21"/>
                <w:szCs w:val="21"/>
                <w:highlight w:val="none"/>
              </w:rPr>
              <w:t>二级指标</w:t>
            </w:r>
          </w:p>
        </w:tc>
        <w:tc>
          <w:tcPr>
            <w:tcW w:w="5000" w:type="dxa"/>
            <w:tcBorders>
              <w:top w:val="single" w:color="auto" w:sz="4" w:space="0"/>
              <w:left w:val="nil"/>
              <w:bottom w:val="single" w:color="auto" w:sz="4" w:space="0"/>
              <w:right w:val="single" w:color="auto" w:sz="4" w:space="0"/>
            </w:tcBorders>
            <w:noWrap w:val="0"/>
            <w:vAlign w:val="center"/>
          </w:tcPr>
          <w:p>
            <w:pPr>
              <w:spacing w:line="300" w:lineRule="exact"/>
              <w:jc w:val="center"/>
              <w:rPr>
                <w:rFonts w:hint="default" w:ascii="Times New Roman" w:hAnsi="Times New Roman" w:eastAsia="黑体" w:cs="Times New Roman"/>
                <w:bCs/>
                <w:sz w:val="21"/>
                <w:szCs w:val="21"/>
                <w:highlight w:val="none"/>
              </w:rPr>
            </w:pPr>
            <w:r>
              <w:rPr>
                <w:rFonts w:hint="default" w:ascii="Times New Roman" w:hAnsi="Times New Roman" w:eastAsia="黑体" w:cs="Times New Roman"/>
                <w:bCs/>
                <w:sz w:val="21"/>
                <w:szCs w:val="21"/>
                <w:highlight w:val="none"/>
              </w:rPr>
              <w:t>评分标准</w:t>
            </w:r>
          </w:p>
        </w:tc>
        <w:tc>
          <w:tcPr>
            <w:tcW w:w="3022" w:type="dxa"/>
            <w:tcBorders>
              <w:top w:val="single" w:color="auto" w:sz="4" w:space="0"/>
              <w:left w:val="nil"/>
              <w:bottom w:val="single" w:color="auto" w:sz="4" w:space="0"/>
              <w:right w:val="single" w:color="auto" w:sz="4" w:space="0"/>
            </w:tcBorders>
            <w:noWrap w:val="0"/>
            <w:vAlign w:val="center"/>
          </w:tcPr>
          <w:p>
            <w:pPr>
              <w:spacing w:line="300" w:lineRule="exact"/>
              <w:jc w:val="center"/>
              <w:rPr>
                <w:rFonts w:hint="default" w:ascii="Times New Roman" w:hAnsi="Times New Roman" w:eastAsia="黑体" w:cs="Times New Roman"/>
                <w:bCs/>
                <w:sz w:val="21"/>
                <w:szCs w:val="21"/>
                <w:highlight w:val="none"/>
              </w:rPr>
            </w:pPr>
            <w:r>
              <w:rPr>
                <w:rFonts w:hint="default" w:ascii="Times New Roman" w:hAnsi="Times New Roman" w:eastAsia="黑体" w:cs="Times New Roman"/>
                <w:bCs/>
                <w:sz w:val="21"/>
                <w:szCs w:val="21"/>
                <w:highlight w:val="none"/>
              </w:rPr>
              <w:t>所需佐证材料</w:t>
            </w:r>
          </w:p>
        </w:tc>
      </w:tr>
      <w:tr>
        <w:tblPrEx>
          <w:tblCellMar>
            <w:top w:w="0" w:type="dxa"/>
            <w:left w:w="108" w:type="dxa"/>
            <w:bottom w:w="0" w:type="dxa"/>
            <w:right w:w="108" w:type="dxa"/>
          </w:tblCellMar>
        </w:tblPrEx>
        <w:trPr>
          <w:jc w:val="center"/>
        </w:trPr>
        <w:tc>
          <w:tcPr>
            <w:tcW w:w="745" w:type="dxa"/>
            <w:vMerge w:val="restart"/>
            <w:tcBorders>
              <w:top w:val="single" w:color="auto" w:sz="4" w:space="0"/>
              <w:left w:val="single" w:color="auto" w:sz="4" w:space="0"/>
              <w:right w:val="single" w:color="auto" w:sz="4" w:space="0"/>
            </w:tcBorders>
            <w:noWrap w:val="0"/>
            <w:vAlign w:val="center"/>
          </w:tcPr>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布置工作</w:t>
            </w:r>
          </w:p>
          <w:p>
            <w:pPr>
              <w:spacing w:line="300" w:lineRule="exact"/>
              <w:jc w:val="center"/>
              <w:rPr>
                <w:rFonts w:hint="default" w:ascii="Times New Roman" w:hAnsi="Times New Roman" w:eastAsia="仿宋_GB2312" w:cs="Times New Roman"/>
                <w:sz w:val="20"/>
                <w:szCs w:val="20"/>
                <w:highlight w:val="none"/>
              </w:rPr>
            </w:pPr>
          </w:p>
          <w:p>
            <w:pPr>
              <w:spacing w:line="300" w:lineRule="exact"/>
              <w:jc w:val="left"/>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10分</w:t>
            </w:r>
          </w:p>
        </w:tc>
        <w:tc>
          <w:tcPr>
            <w:tcW w:w="1174" w:type="dxa"/>
            <w:tcBorders>
              <w:top w:val="single" w:color="auto" w:sz="4" w:space="0"/>
              <w:left w:val="nil"/>
              <w:right w:val="single" w:color="auto" w:sz="4" w:space="0"/>
            </w:tcBorders>
            <w:noWrap w:val="0"/>
            <w:vAlign w:val="center"/>
          </w:tcPr>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自评通知</w:t>
            </w:r>
          </w:p>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（8分）</w:t>
            </w:r>
          </w:p>
        </w:tc>
        <w:tc>
          <w:tcPr>
            <w:tcW w:w="5000" w:type="dxa"/>
            <w:tcBorders>
              <w:top w:val="single" w:color="auto" w:sz="4" w:space="0"/>
              <w:left w:val="nil"/>
              <w:bottom w:val="single" w:color="auto" w:sz="4" w:space="0"/>
              <w:right w:val="single" w:color="auto" w:sz="4" w:space="0"/>
            </w:tcBorders>
            <w:noWrap w:val="0"/>
            <w:vAlign w:val="center"/>
          </w:tcPr>
          <w:p>
            <w:pPr>
              <w:spacing w:line="300" w:lineRule="exact"/>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1</w:t>
            </w:r>
            <w:r>
              <w:rPr>
                <w:rFonts w:hint="eastAsia" w:ascii="Times New Roman" w:hAnsi="Times New Roman" w:eastAsia="仿宋_GB2312" w:cs="Times New Roman"/>
                <w:sz w:val="20"/>
                <w:szCs w:val="20"/>
                <w:highlight w:val="none"/>
                <w:lang w:val="en-US" w:eastAsia="zh-CN"/>
              </w:rPr>
              <w:t>.</w:t>
            </w:r>
            <w:r>
              <w:rPr>
                <w:rFonts w:hint="default" w:ascii="Times New Roman" w:hAnsi="Times New Roman" w:eastAsia="仿宋_GB2312" w:cs="Times New Roman"/>
                <w:sz w:val="20"/>
                <w:szCs w:val="20"/>
                <w:highlight w:val="none"/>
              </w:rPr>
              <w:t>印发绩效自评通知的得2分，否则不得分。</w:t>
            </w:r>
          </w:p>
          <w:p>
            <w:pPr>
              <w:spacing w:line="300" w:lineRule="exact"/>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2</w:t>
            </w:r>
            <w:r>
              <w:rPr>
                <w:rFonts w:hint="eastAsia" w:ascii="Times New Roman" w:hAnsi="Times New Roman" w:eastAsia="仿宋_GB2312" w:cs="Times New Roman"/>
                <w:sz w:val="20"/>
                <w:szCs w:val="20"/>
                <w:highlight w:val="none"/>
                <w:lang w:val="en-US" w:eastAsia="zh-CN"/>
              </w:rPr>
              <w:t>.</w:t>
            </w:r>
            <w:r>
              <w:rPr>
                <w:rFonts w:hint="default" w:ascii="Times New Roman" w:hAnsi="Times New Roman" w:eastAsia="仿宋_GB2312" w:cs="Times New Roman"/>
                <w:sz w:val="20"/>
                <w:szCs w:val="20"/>
                <w:highlight w:val="none"/>
              </w:rPr>
              <w:t>按照本规程规定，绩效自评通知包括自评范围、自评主要依据、自评主要内容、自评程序和步骤、有关要求等内容，并附有本通知要求的附件的，得6分；否则缺1项扣1分，最多扣6分。</w:t>
            </w:r>
          </w:p>
        </w:tc>
        <w:tc>
          <w:tcPr>
            <w:tcW w:w="3022" w:type="dxa"/>
            <w:tcBorders>
              <w:top w:val="single" w:color="auto" w:sz="4" w:space="0"/>
              <w:left w:val="nil"/>
              <w:bottom w:val="single" w:color="auto" w:sz="4" w:space="0"/>
              <w:right w:val="single" w:color="auto" w:sz="4" w:space="0"/>
            </w:tcBorders>
            <w:noWrap w:val="0"/>
            <w:vAlign w:val="center"/>
          </w:tcPr>
          <w:p>
            <w:pPr>
              <w:spacing w:line="300" w:lineRule="exact"/>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绩效自评通知盖章的电子版</w:t>
            </w:r>
          </w:p>
        </w:tc>
      </w:tr>
      <w:tr>
        <w:tblPrEx>
          <w:tblCellMar>
            <w:top w:w="0" w:type="dxa"/>
            <w:left w:w="108" w:type="dxa"/>
            <w:bottom w:w="0" w:type="dxa"/>
            <w:right w:w="108" w:type="dxa"/>
          </w:tblCellMar>
        </w:tblPrEx>
        <w:trPr>
          <w:jc w:val="center"/>
        </w:trPr>
        <w:tc>
          <w:tcPr>
            <w:tcW w:w="745" w:type="dxa"/>
            <w:vMerge w:val="continue"/>
            <w:tcBorders>
              <w:left w:val="single" w:color="auto" w:sz="4" w:space="0"/>
              <w:bottom w:val="single" w:color="auto" w:sz="4" w:space="0"/>
              <w:right w:val="single" w:color="auto" w:sz="4" w:space="0"/>
            </w:tcBorders>
            <w:noWrap w:val="0"/>
            <w:vAlign w:val="center"/>
          </w:tcPr>
          <w:p>
            <w:pPr>
              <w:spacing w:line="300" w:lineRule="exact"/>
              <w:rPr>
                <w:rFonts w:hint="default" w:ascii="Times New Roman" w:hAnsi="Times New Roman" w:eastAsia="仿宋_GB2312" w:cs="Times New Roman"/>
                <w:sz w:val="20"/>
                <w:szCs w:val="20"/>
                <w:highlight w:val="none"/>
              </w:rPr>
            </w:pPr>
          </w:p>
        </w:tc>
        <w:tc>
          <w:tcPr>
            <w:tcW w:w="1174" w:type="dxa"/>
            <w:tcBorders>
              <w:top w:val="single" w:color="auto" w:sz="4" w:space="0"/>
              <w:left w:val="nil"/>
              <w:bottom w:val="single" w:color="auto" w:sz="4" w:space="0"/>
              <w:right w:val="single" w:color="auto" w:sz="4" w:space="0"/>
            </w:tcBorders>
            <w:noWrap w:val="0"/>
            <w:vAlign w:val="center"/>
          </w:tcPr>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工作小组</w:t>
            </w:r>
          </w:p>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（2分）</w:t>
            </w:r>
          </w:p>
        </w:tc>
        <w:tc>
          <w:tcPr>
            <w:tcW w:w="5000" w:type="dxa"/>
            <w:tcBorders>
              <w:top w:val="single" w:color="auto" w:sz="4" w:space="0"/>
              <w:left w:val="nil"/>
              <w:bottom w:val="single" w:color="auto" w:sz="4" w:space="0"/>
              <w:right w:val="single" w:color="auto" w:sz="4" w:space="0"/>
            </w:tcBorders>
            <w:noWrap w:val="0"/>
            <w:vAlign w:val="center"/>
          </w:tcPr>
          <w:p>
            <w:pPr>
              <w:spacing w:line="300" w:lineRule="exact"/>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成立绩效自评工作小组的得2分，否则不得分。</w:t>
            </w:r>
          </w:p>
        </w:tc>
        <w:tc>
          <w:tcPr>
            <w:tcW w:w="3022" w:type="dxa"/>
            <w:tcBorders>
              <w:top w:val="single" w:color="auto" w:sz="4" w:space="0"/>
              <w:left w:val="nil"/>
              <w:bottom w:val="single" w:color="auto" w:sz="4" w:space="0"/>
              <w:right w:val="single" w:color="auto" w:sz="4" w:space="0"/>
            </w:tcBorders>
            <w:noWrap w:val="0"/>
            <w:vAlign w:val="center"/>
          </w:tcPr>
          <w:p>
            <w:pPr>
              <w:spacing w:line="300" w:lineRule="exact"/>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本部门、本单位预算绩效管理领导小组</w:t>
            </w:r>
            <w:r>
              <w:rPr>
                <w:rFonts w:hint="default" w:ascii="Times New Roman" w:hAnsi="Times New Roman" w:eastAsia="仿宋_GB2312" w:cs="Times New Roman"/>
                <w:spacing w:val="0"/>
                <w:sz w:val="20"/>
                <w:szCs w:val="20"/>
                <w:highlight w:val="none"/>
                <w:lang w:val="en-US" w:eastAsia="zh-CN"/>
              </w:rPr>
              <w:t>/</w:t>
            </w:r>
            <w:r>
              <w:rPr>
                <w:rFonts w:hint="default" w:ascii="Times New Roman" w:hAnsi="Times New Roman" w:eastAsia="仿宋_GB2312" w:cs="Times New Roman"/>
                <w:sz w:val="20"/>
                <w:szCs w:val="20"/>
                <w:highlight w:val="none"/>
              </w:rPr>
              <w:t>绩效评价工作小组</w:t>
            </w:r>
            <w:r>
              <w:rPr>
                <w:rFonts w:hint="default" w:ascii="Times New Roman" w:hAnsi="Times New Roman" w:eastAsia="仿宋_GB2312" w:cs="Times New Roman"/>
                <w:sz w:val="20"/>
                <w:szCs w:val="20"/>
                <w:highlight w:val="none"/>
                <w:lang w:eastAsia="zh-CN"/>
              </w:rPr>
              <w:t>有关</w:t>
            </w:r>
            <w:r>
              <w:rPr>
                <w:rFonts w:hint="default" w:ascii="Times New Roman" w:hAnsi="Times New Roman" w:eastAsia="仿宋_GB2312" w:cs="Times New Roman"/>
                <w:spacing w:val="0"/>
                <w:sz w:val="20"/>
                <w:szCs w:val="20"/>
                <w:highlight w:val="none"/>
              </w:rPr>
              <w:t>文件</w:t>
            </w:r>
            <w:r>
              <w:rPr>
                <w:rFonts w:hint="default" w:ascii="Times New Roman" w:hAnsi="Times New Roman" w:eastAsia="仿宋_GB2312" w:cs="Times New Roman"/>
                <w:sz w:val="20"/>
                <w:szCs w:val="20"/>
                <w:highlight w:val="none"/>
              </w:rPr>
              <w:t>盖章的电子版</w:t>
            </w:r>
          </w:p>
        </w:tc>
      </w:tr>
      <w:tr>
        <w:tblPrEx>
          <w:tblCellMar>
            <w:top w:w="0" w:type="dxa"/>
            <w:left w:w="108" w:type="dxa"/>
            <w:bottom w:w="0" w:type="dxa"/>
            <w:right w:w="108" w:type="dxa"/>
          </w:tblCellMar>
        </w:tblPrEx>
        <w:trPr>
          <w:jc w:val="center"/>
        </w:trPr>
        <w:tc>
          <w:tcPr>
            <w:tcW w:w="745" w:type="dxa"/>
            <w:vMerge w:val="restart"/>
            <w:tcBorders>
              <w:top w:val="single" w:color="auto" w:sz="4" w:space="0"/>
              <w:left w:val="single" w:color="auto" w:sz="4" w:space="0"/>
              <w:right w:val="single" w:color="auto" w:sz="4" w:space="0"/>
            </w:tcBorders>
            <w:noWrap w:val="0"/>
            <w:vAlign w:val="center"/>
          </w:tcPr>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实施评价</w:t>
            </w:r>
          </w:p>
          <w:p>
            <w:pPr>
              <w:spacing w:line="300" w:lineRule="exact"/>
              <w:jc w:val="center"/>
              <w:rPr>
                <w:rFonts w:hint="default" w:ascii="Times New Roman" w:hAnsi="Times New Roman" w:eastAsia="仿宋_GB2312" w:cs="Times New Roman"/>
                <w:sz w:val="20"/>
                <w:szCs w:val="20"/>
                <w:highlight w:val="none"/>
              </w:rPr>
            </w:pPr>
          </w:p>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20分</w:t>
            </w:r>
          </w:p>
        </w:tc>
        <w:tc>
          <w:tcPr>
            <w:tcW w:w="1174" w:type="dxa"/>
            <w:tcBorders>
              <w:top w:val="single" w:color="auto" w:sz="4" w:space="0"/>
              <w:left w:val="nil"/>
              <w:bottom w:val="single" w:color="auto" w:sz="4" w:space="0"/>
              <w:right w:val="single" w:color="auto" w:sz="4" w:space="0"/>
            </w:tcBorders>
            <w:noWrap w:val="0"/>
            <w:vAlign w:val="center"/>
          </w:tcPr>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单位自查</w:t>
            </w:r>
          </w:p>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（10分）</w:t>
            </w:r>
          </w:p>
        </w:tc>
        <w:tc>
          <w:tcPr>
            <w:tcW w:w="5000" w:type="dxa"/>
            <w:tcBorders>
              <w:top w:val="single" w:color="auto" w:sz="4" w:space="0"/>
              <w:left w:val="nil"/>
              <w:bottom w:val="single" w:color="auto" w:sz="4" w:space="0"/>
              <w:right w:val="single" w:color="auto" w:sz="4" w:space="0"/>
            </w:tcBorders>
            <w:noWrap w:val="0"/>
            <w:vAlign w:val="center"/>
          </w:tcPr>
          <w:p>
            <w:pPr>
              <w:spacing w:line="300" w:lineRule="exact"/>
              <w:rPr>
                <w:rFonts w:hint="default" w:ascii="Times New Roman" w:hAnsi="Times New Roman" w:eastAsia="仿宋_GB2312" w:cs="Times New Roman"/>
                <w:sz w:val="20"/>
                <w:szCs w:val="20"/>
                <w:highlight w:val="none"/>
              </w:rPr>
            </w:pPr>
            <w:r>
              <w:rPr>
                <w:rFonts w:hint="eastAsia" w:ascii="Times New Roman" w:hAnsi="Times New Roman" w:eastAsia="仿宋_GB2312" w:cs="Times New Roman"/>
                <w:sz w:val="20"/>
                <w:szCs w:val="20"/>
                <w:highlight w:val="none"/>
                <w:lang w:eastAsia="zh-CN"/>
              </w:rPr>
              <w:t>市级</w:t>
            </w:r>
            <w:r>
              <w:rPr>
                <w:rFonts w:hint="default" w:ascii="Times New Roman" w:hAnsi="Times New Roman" w:eastAsia="仿宋_GB2312" w:cs="Times New Roman"/>
                <w:sz w:val="20"/>
                <w:szCs w:val="20"/>
                <w:highlight w:val="none"/>
              </w:rPr>
              <w:t>预算部门本级和所属单位都要开展绩效自查，转移支付项目单位都要开展绩效自查，</w:t>
            </w:r>
            <w:r>
              <w:rPr>
                <w:rFonts w:hint="eastAsia" w:ascii="Times New Roman" w:hAnsi="Times New Roman" w:eastAsia="仿宋_GB2312" w:cs="Times New Roman"/>
                <w:sz w:val="20"/>
                <w:szCs w:val="20"/>
                <w:highlight w:val="none"/>
                <w:lang w:eastAsia="zh-CN"/>
              </w:rPr>
              <w:t>县、区</w:t>
            </w:r>
            <w:r>
              <w:rPr>
                <w:rFonts w:hint="default" w:ascii="Times New Roman" w:hAnsi="Times New Roman" w:eastAsia="仿宋_GB2312" w:cs="Times New Roman"/>
                <w:sz w:val="20"/>
                <w:szCs w:val="20"/>
                <w:highlight w:val="none"/>
              </w:rPr>
              <w:t>级主管部门都要汇总本区域转移支付情况；以上各项每发现一个单位没有做相应工作的，扣1分，最多扣10分。</w:t>
            </w:r>
          </w:p>
        </w:tc>
        <w:tc>
          <w:tcPr>
            <w:tcW w:w="3022" w:type="dxa"/>
            <w:tcBorders>
              <w:top w:val="single" w:color="auto" w:sz="4" w:space="0"/>
              <w:left w:val="nil"/>
              <w:bottom w:val="single" w:color="auto" w:sz="4" w:space="0"/>
              <w:right w:val="single" w:color="auto" w:sz="4" w:space="0"/>
            </w:tcBorders>
            <w:noWrap w:val="0"/>
            <w:vAlign w:val="center"/>
          </w:tcPr>
          <w:p>
            <w:pPr>
              <w:numPr>
                <w:ilvl w:val="0"/>
                <w:numId w:val="5"/>
              </w:numPr>
              <w:spacing w:line="300" w:lineRule="exact"/>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转移支付项目单位名称和资</w:t>
            </w:r>
            <w:r>
              <w:rPr>
                <w:rFonts w:hint="eastAsia" w:ascii="Times New Roman" w:hAnsi="Times New Roman" w:eastAsia="仿宋_GB2312" w:cs="Times New Roman"/>
                <w:sz w:val="20"/>
                <w:szCs w:val="20"/>
                <w:highlight w:val="none"/>
                <w:lang w:val="en-US" w:eastAsia="zh-CN"/>
              </w:rPr>
              <w:t xml:space="preserve"> </w:t>
            </w:r>
            <w:r>
              <w:rPr>
                <w:rFonts w:hint="default" w:ascii="Times New Roman" w:hAnsi="Times New Roman" w:eastAsia="仿宋_GB2312" w:cs="Times New Roman"/>
                <w:sz w:val="20"/>
                <w:szCs w:val="20"/>
                <w:highlight w:val="none"/>
              </w:rPr>
              <w:t>金情况清单</w:t>
            </w:r>
          </w:p>
          <w:p>
            <w:pPr>
              <w:numPr>
                <w:ilvl w:val="0"/>
                <w:numId w:val="5"/>
              </w:numPr>
              <w:spacing w:line="300" w:lineRule="exact"/>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有转移支付资金的各</w:t>
            </w:r>
            <w:r>
              <w:rPr>
                <w:rFonts w:hint="eastAsia" w:ascii="Times New Roman" w:hAnsi="Times New Roman" w:eastAsia="仿宋_GB2312" w:cs="Times New Roman"/>
                <w:sz w:val="20"/>
                <w:szCs w:val="20"/>
                <w:highlight w:val="none"/>
                <w:lang w:eastAsia="zh-CN"/>
              </w:rPr>
              <w:t>县区</w:t>
            </w:r>
            <w:r>
              <w:rPr>
                <w:rFonts w:hint="default" w:ascii="Times New Roman" w:hAnsi="Times New Roman" w:eastAsia="仿宋_GB2312" w:cs="Times New Roman"/>
                <w:sz w:val="20"/>
                <w:szCs w:val="20"/>
                <w:highlight w:val="none"/>
              </w:rPr>
              <w:t>主管部门汇总情况的盖章PDF版　</w:t>
            </w:r>
          </w:p>
        </w:tc>
      </w:tr>
      <w:tr>
        <w:tblPrEx>
          <w:tblCellMar>
            <w:top w:w="0" w:type="dxa"/>
            <w:left w:w="108" w:type="dxa"/>
            <w:bottom w:w="0" w:type="dxa"/>
            <w:right w:w="108" w:type="dxa"/>
          </w:tblCellMar>
        </w:tblPrEx>
        <w:trPr>
          <w:jc w:val="center"/>
        </w:trPr>
        <w:tc>
          <w:tcPr>
            <w:tcW w:w="745" w:type="dxa"/>
            <w:vMerge w:val="continue"/>
            <w:tcBorders>
              <w:left w:val="single" w:color="auto" w:sz="4" w:space="0"/>
              <w:bottom w:val="single" w:color="auto" w:sz="4" w:space="0"/>
              <w:right w:val="single" w:color="auto" w:sz="4" w:space="0"/>
            </w:tcBorders>
            <w:noWrap w:val="0"/>
            <w:vAlign w:val="center"/>
          </w:tcPr>
          <w:p>
            <w:pPr>
              <w:spacing w:line="300" w:lineRule="exact"/>
              <w:rPr>
                <w:rFonts w:hint="default" w:ascii="Times New Roman" w:hAnsi="Times New Roman" w:eastAsia="仿宋_GB2312" w:cs="Times New Roman"/>
                <w:sz w:val="20"/>
                <w:szCs w:val="20"/>
                <w:highlight w:val="none"/>
              </w:rPr>
            </w:pPr>
          </w:p>
        </w:tc>
        <w:tc>
          <w:tcPr>
            <w:tcW w:w="1174" w:type="dxa"/>
            <w:tcBorders>
              <w:top w:val="nil"/>
              <w:left w:val="nil"/>
              <w:bottom w:val="single" w:color="auto" w:sz="4" w:space="0"/>
              <w:right w:val="single" w:color="auto" w:sz="4" w:space="0"/>
            </w:tcBorders>
            <w:noWrap w:val="0"/>
            <w:vAlign w:val="center"/>
          </w:tcPr>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提交报告</w:t>
            </w:r>
          </w:p>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（10分）</w:t>
            </w:r>
          </w:p>
        </w:tc>
        <w:tc>
          <w:tcPr>
            <w:tcW w:w="8022" w:type="dxa"/>
            <w:gridSpan w:val="2"/>
            <w:tcBorders>
              <w:top w:val="nil"/>
              <w:left w:val="nil"/>
              <w:bottom w:val="single" w:color="auto" w:sz="4" w:space="0"/>
              <w:right w:val="single" w:color="auto" w:sz="4" w:space="0"/>
            </w:tcBorders>
            <w:noWrap w:val="0"/>
            <w:vAlign w:val="center"/>
          </w:tcPr>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按时向</w:t>
            </w:r>
            <w:r>
              <w:rPr>
                <w:rFonts w:hint="eastAsia" w:ascii="Times New Roman" w:hAnsi="Times New Roman" w:eastAsia="仿宋_GB2312" w:cs="Times New Roman"/>
                <w:sz w:val="20"/>
                <w:szCs w:val="20"/>
                <w:highlight w:val="none"/>
                <w:lang w:eastAsia="zh-CN"/>
              </w:rPr>
              <w:t>市财政局</w:t>
            </w:r>
            <w:r>
              <w:rPr>
                <w:rFonts w:hint="default" w:ascii="Times New Roman" w:hAnsi="Times New Roman" w:eastAsia="仿宋_GB2312" w:cs="Times New Roman"/>
                <w:sz w:val="20"/>
                <w:szCs w:val="20"/>
                <w:highlight w:val="none"/>
              </w:rPr>
              <w:t>报送报告的得10分；每推迟一个工作日报送报告的扣1分，最多扣10分。</w:t>
            </w:r>
          </w:p>
        </w:tc>
      </w:tr>
      <w:tr>
        <w:tblPrEx>
          <w:tblCellMar>
            <w:top w:w="0" w:type="dxa"/>
            <w:left w:w="108" w:type="dxa"/>
            <w:bottom w:w="0" w:type="dxa"/>
            <w:right w:w="108" w:type="dxa"/>
          </w:tblCellMar>
        </w:tblPrEx>
        <w:trPr>
          <w:trHeight w:val="740" w:hRule="atLeast"/>
          <w:jc w:val="center"/>
        </w:trPr>
        <w:tc>
          <w:tcPr>
            <w:tcW w:w="745"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自评报告</w:t>
            </w:r>
          </w:p>
          <w:p>
            <w:pPr>
              <w:spacing w:line="300" w:lineRule="exact"/>
              <w:jc w:val="center"/>
              <w:rPr>
                <w:rFonts w:hint="default" w:ascii="Times New Roman" w:hAnsi="Times New Roman" w:eastAsia="仿宋_GB2312" w:cs="Times New Roman"/>
                <w:sz w:val="20"/>
                <w:szCs w:val="20"/>
                <w:highlight w:val="none"/>
              </w:rPr>
            </w:pPr>
          </w:p>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70分</w:t>
            </w:r>
          </w:p>
        </w:tc>
        <w:tc>
          <w:tcPr>
            <w:tcW w:w="1174" w:type="dxa"/>
            <w:tcBorders>
              <w:top w:val="single" w:color="auto" w:sz="4" w:space="0"/>
              <w:left w:val="nil"/>
              <w:bottom w:val="single" w:color="auto" w:sz="4" w:space="0"/>
              <w:right w:val="single" w:color="auto" w:sz="4" w:space="0"/>
            </w:tcBorders>
            <w:noWrap w:val="0"/>
            <w:vAlign w:val="center"/>
          </w:tcPr>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完整性</w:t>
            </w:r>
          </w:p>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（15分）</w:t>
            </w:r>
          </w:p>
        </w:tc>
        <w:tc>
          <w:tcPr>
            <w:tcW w:w="8022" w:type="dxa"/>
            <w:gridSpan w:val="2"/>
            <w:tcBorders>
              <w:top w:val="single" w:color="auto" w:sz="4" w:space="0"/>
              <w:left w:val="nil"/>
              <w:bottom w:val="single" w:color="auto" w:sz="4" w:space="0"/>
              <w:right w:val="single" w:color="auto" w:sz="4" w:space="0"/>
            </w:tcBorders>
            <w:noWrap w:val="0"/>
            <w:vAlign w:val="center"/>
          </w:tcPr>
          <w:p>
            <w:pPr>
              <w:spacing w:line="240" w:lineRule="auto"/>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1</w:t>
            </w:r>
            <w:r>
              <w:rPr>
                <w:rFonts w:hint="eastAsia" w:ascii="Times New Roman" w:hAnsi="Times New Roman" w:eastAsia="仿宋_GB2312" w:cs="Times New Roman"/>
                <w:sz w:val="20"/>
                <w:szCs w:val="20"/>
                <w:highlight w:val="none"/>
                <w:lang w:val="en-US" w:eastAsia="zh-CN"/>
              </w:rPr>
              <w:t>.</w:t>
            </w:r>
            <w:r>
              <w:rPr>
                <w:rFonts w:hint="default" w:ascii="Times New Roman" w:hAnsi="Times New Roman" w:eastAsia="仿宋_GB2312" w:cs="Times New Roman"/>
                <w:sz w:val="20"/>
                <w:szCs w:val="20"/>
                <w:highlight w:val="none"/>
              </w:rPr>
              <w:t>绩效自评报告正文部分内容齐全的，得8分；否则每少一个部分扣2分，最多扣8分。</w:t>
            </w:r>
          </w:p>
          <w:p>
            <w:pPr>
              <w:spacing w:line="240" w:lineRule="auto"/>
              <w:jc w:val="left"/>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2</w:t>
            </w:r>
            <w:r>
              <w:rPr>
                <w:rFonts w:hint="eastAsia" w:ascii="Times New Roman" w:hAnsi="Times New Roman" w:eastAsia="仿宋_GB2312" w:cs="Times New Roman"/>
                <w:sz w:val="20"/>
                <w:szCs w:val="20"/>
                <w:highlight w:val="none"/>
                <w:lang w:val="en-US" w:eastAsia="zh-CN"/>
              </w:rPr>
              <w:t>.</w:t>
            </w:r>
            <w:r>
              <w:rPr>
                <w:rFonts w:hint="default" w:ascii="Times New Roman" w:hAnsi="Times New Roman" w:eastAsia="仿宋_GB2312" w:cs="Times New Roman"/>
                <w:sz w:val="20"/>
                <w:szCs w:val="20"/>
                <w:highlight w:val="none"/>
              </w:rPr>
              <w:t>绩效自评报告附件部分内容齐全的，得7分；否则每少一个部分扣2分，最多扣7分。</w:t>
            </w:r>
          </w:p>
        </w:tc>
      </w:tr>
      <w:tr>
        <w:tblPrEx>
          <w:tblCellMar>
            <w:top w:w="0" w:type="dxa"/>
            <w:left w:w="108" w:type="dxa"/>
            <w:bottom w:w="0" w:type="dxa"/>
            <w:right w:w="108" w:type="dxa"/>
          </w:tblCellMar>
        </w:tblPrEx>
        <w:trPr>
          <w:trHeight w:val="2143" w:hRule="atLeast"/>
          <w:jc w:val="center"/>
        </w:trPr>
        <w:tc>
          <w:tcPr>
            <w:tcW w:w="74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default" w:ascii="Times New Roman" w:hAnsi="Times New Roman" w:eastAsia="仿宋_GB2312" w:cs="Times New Roman"/>
                <w:sz w:val="20"/>
                <w:szCs w:val="20"/>
                <w:highlight w:val="none"/>
              </w:rPr>
            </w:pPr>
          </w:p>
        </w:tc>
        <w:tc>
          <w:tcPr>
            <w:tcW w:w="1174" w:type="dxa"/>
            <w:tcBorders>
              <w:top w:val="single" w:color="auto" w:sz="4" w:space="0"/>
              <w:left w:val="nil"/>
              <w:right w:val="single" w:color="auto" w:sz="4" w:space="0"/>
            </w:tcBorders>
            <w:noWrap w:val="0"/>
            <w:vAlign w:val="center"/>
          </w:tcPr>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绩效</w:t>
            </w:r>
          </w:p>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自评表</w:t>
            </w:r>
          </w:p>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（20分）</w:t>
            </w:r>
          </w:p>
        </w:tc>
        <w:tc>
          <w:tcPr>
            <w:tcW w:w="8022" w:type="dxa"/>
            <w:gridSpan w:val="2"/>
            <w:tcBorders>
              <w:top w:val="single" w:color="auto" w:sz="4" w:space="0"/>
              <w:left w:val="nil"/>
              <w:bottom w:val="single" w:color="auto" w:sz="4" w:space="0"/>
              <w:right w:val="single" w:color="auto" w:sz="4" w:space="0"/>
            </w:tcBorders>
            <w:noWrap w:val="0"/>
            <w:vAlign w:val="center"/>
          </w:tcPr>
          <w:p>
            <w:pPr>
              <w:spacing w:line="240" w:lineRule="auto"/>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1、部门整体支出和项目支出绩效指标反映产出、效益、服务对象满意度方面的指标和预算执行率的权重符合《</w:t>
            </w:r>
            <w:r>
              <w:rPr>
                <w:rFonts w:hint="eastAsia" w:ascii="Times New Roman" w:hAnsi="Times New Roman" w:eastAsia="仿宋_GB2312" w:cs="Times New Roman"/>
                <w:sz w:val="20"/>
                <w:szCs w:val="20"/>
                <w:highlight w:val="none"/>
                <w:lang w:eastAsia="zh-CN"/>
              </w:rPr>
              <w:t>岳阳市市级</w:t>
            </w:r>
            <w:r>
              <w:rPr>
                <w:rFonts w:hint="default" w:ascii="Times New Roman" w:hAnsi="Times New Roman" w:eastAsia="仿宋_GB2312" w:cs="Times New Roman"/>
                <w:sz w:val="20"/>
                <w:szCs w:val="20"/>
                <w:highlight w:val="none"/>
              </w:rPr>
              <w:t>预算部门绩效自评操作规程》要求的，得5分，否则按比例扣除相应的分数。</w:t>
            </w:r>
          </w:p>
          <w:p>
            <w:pPr>
              <w:spacing w:line="240" w:lineRule="auto"/>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2</w:t>
            </w:r>
            <w:r>
              <w:rPr>
                <w:rFonts w:hint="eastAsia" w:ascii="Times New Roman" w:hAnsi="Times New Roman" w:eastAsia="仿宋_GB2312" w:cs="Times New Roman"/>
                <w:sz w:val="20"/>
                <w:szCs w:val="20"/>
                <w:highlight w:val="none"/>
                <w:lang w:val="en-US" w:eastAsia="zh-CN"/>
              </w:rPr>
              <w:t>.</w:t>
            </w:r>
            <w:r>
              <w:rPr>
                <w:rFonts w:hint="default" w:ascii="Times New Roman" w:hAnsi="Times New Roman" w:eastAsia="仿宋_GB2312" w:cs="Times New Roman"/>
                <w:sz w:val="20"/>
                <w:szCs w:val="20"/>
                <w:highlight w:val="none"/>
              </w:rPr>
              <w:t>部门整体支出和项目支出绩效指标全部细化到三级指标的，得5分；部分细化的，酌情扣分；没有细化的，不得分。</w:t>
            </w:r>
          </w:p>
          <w:p>
            <w:pPr>
              <w:spacing w:line="240" w:lineRule="auto"/>
              <w:jc w:val="left"/>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3</w:t>
            </w:r>
            <w:r>
              <w:rPr>
                <w:rFonts w:hint="eastAsia" w:ascii="Times New Roman" w:hAnsi="Times New Roman" w:eastAsia="仿宋_GB2312" w:cs="Times New Roman"/>
                <w:sz w:val="20"/>
                <w:szCs w:val="20"/>
                <w:highlight w:val="none"/>
                <w:lang w:val="en-US" w:eastAsia="zh-CN"/>
              </w:rPr>
              <w:t>.</w:t>
            </w:r>
            <w:r>
              <w:rPr>
                <w:rFonts w:hint="default" w:ascii="Times New Roman" w:hAnsi="Times New Roman" w:eastAsia="仿宋_GB2312" w:cs="Times New Roman"/>
                <w:sz w:val="20"/>
                <w:szCs w:val="20"/>
                <w:highlight w:val="none"/>
              </w:rPr>
              <w:t>部门整体支出和项目支出三级绩效指标内涵明确、具体、可衡量的得5分；突出核心指标，精简实用的得3分；指标与部门整体支出和项目支出密切相关，全面反映产出和效益的得2分；否则，每项酌情扣分，最多扣10分。</w:t>
            </w:r>
          </w:p>
        </w:tc>
      </w:tr>
      <w:tr>
        <w:tblPrEx>
          <w:tblCellMar>
            <w:top w:w="0" w:type="dxa"/>
            <w:left w:w="108" w:type="dxa"/>
            <w:bottom w:w="0" w:type="dxa"/>
            <w:right w:w="108" w:type="dxa"/>
          </w:tblCellMar>
        </w:tblPrEx>
        <w:trPr>
          <w:trHeight w:val="1197" w:hRule="atLeast"/>
          <w:jc w:val="center"/>
        </w:trPr>
        <w:tc>
          <w:tcPr>
            <w:tcW w:w="74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Times New Roman" w:hAnsi="Times New Roman" w:eastAsia="仿宋_GB2312" w:cs="Times New Roman"/>
                <w:sz w:val="20"/>
                <w:szCs w:val="20"/>
                <w:highlight w:val="none"/>
              </w:rPr>
            </w:pPr>
          </w:p>
        </w:tc>
        <w:tc>
          <w:tcPr>
            <w:tcW w:w="1174"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highlight w:val="none"/>
              </w:rPr>
            </w:pPr>
          </w:p>
          <w:p>
            <w:pPr>
              <w:spacing w:line="240" w:lineRule="auto"/>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反映问</w:t>
            </w:r>
          </w:p>
          <w:p>
            <w:pPr>
              <w:spacing w:line="240" w:lineRule="auto"/>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题情况</w:t>
            </w:r>
          </w:p>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（20分）</w:t>
            </w:r>
          </w:p>
        </w:tc>
        <w:tc>
          <w:tcPr>
            <w:tcW w:w="8022" w:type="dxa"/>
            <w:gridSpan w:val="2"/>
            <w:tcBorders>
              <w:top w:val="single" w:color="auto" w:sz="4" w:space="0"/>
              <w:left w:val="nil"/>
              <w:bottom w:val="single" w:color="auto" w:sz="4" w:space="0"/>
              <w:right w:val="single" w:color="auto" w:sz="4" w:space="0"/>
            </w:tcBorders>
            <w:noWrap w:val="0"/>
            <w:vAlign w:val="center"/>
          </w:tcPr>
          <w:p>
            <w:pPr>
              <w:spacing w:line="240" w:lineRule="auto"/>
              <w:jc w:val="left"/>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从预算和预算绩效管理，部门履职效能，资金分配、使用和管理，资产和财务管理，政府采购等方面归纳问题、分析原因全面的，得20分；反映问题、分析原因较全面的，得16—18分；反映问题、分析原因不全面的，得13—15分；问题未归纳且过于简单的，得10—12分；只提出资金不足问题的不得分；其他情况酌情扣分。　</w:t>
            </w:r>
          </w:p>
        </w:tc>
      </w:tr>
      <w:tr>
        <w:tblPrEx>
          <w:tblCellMar>
            <w:top w:w="0" w:type="dxa"/>
            <w:left w:w="108" w:type="dxa"/>
            <w:bottom w:w="0" w:type="dxa"/>
            <w:right w:w="108" w:type="dxa"/>
          </w:tblCellMar>
        </w:tblPrEx>
        <w:trPr>
          <w:trHeight w:val="627" w:hRule="atLeast"/>
          <w:jc w:val="center"/>
        </w:trPr>
        <w:tc>
          <w:tcPr>
            <w:tcW w:w="74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default" w:ascii="Times New Roman" w:hAnsi="Times New Roman" w:eastAsia="仿宋_GB2312" w:cs="Times New Roman"/>
                <w:sz w:val="20"/>
                <w:szCs w:val="20"/>
                <w:highlight w:val="none"/>
              </w:rPr>
            </w:pPr>
          </w:p>
        </w:tc>
        <w:tc>
          <w:tcPr>
            <w:tcW w:w="1174" w:type="dxa"/>
            <w:tcBorders>
              <w:top w:val="single" w:color="auto" w:sz="4" w:space="0"/>
              <w:left w:val="nil"/>
              <w:bottom w:val="single" w:color="auto" w:sz="4" w:space="0"/>
              <w:right w:val="single" w:color="auto" w:sz="4" w:space="0"/>
            </w:tcBorders>
            <w:noWrap w:val="0"/>
            <w:vAlign w:val="center"/>
          </w:tcPr>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建议情况</w:t>
            </w:r>
          </w:p>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（15分）</w:t>
            </w:r>
          </w:p>
        </w:tc>
        <w:tc>
          <w:tcPr>
            <w:tcW w:w="8022" w:type="dxa"/>
            <w:gridSpan w:val="2"/>
            <w:tcBorders>
              <w:top w:val="single" w:color="auto" w:sz="4" w:space="0"/>
              <w:left w:val="nil"/>
              <w:bottom w:val="single" w:color="auto" w:sz="4" w:space="0"/>
              <w:right w:val="single" w:color="auto" w:sz="4" w:space="0"/>
            </w:tcBorders>
            <w:noWrap w:val="0"/>
            <w:vAlign w:val="center"/>
          </w:tcPr>
          <w:p>
            <w:pPr>
              <w:spacing w:line="240" w:lineRule="auto"/>
              <w:jc w:val="left"/>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建议与问题对应且全面的得15分，建议比较全面的得12—14分，建议不全面的得9—11分，建议过于简单的得6—8分，只提出加大资金投入建议的不得分；其他情况酌情扣分。</w:t>
            </w:r>
          </w:p>
        </w:tc>
      </w:tr>
      <w:tr>
        <w:tblPrEx>
          <w:tblCellMar>
            <w:top w:w="0" w:type="dxa"/>
            <w:left w:w="108" w:type="dxa"/>
            <w:bottom w:w="0" w:type="dxa"/>
            <w:right w:w="108" w:type="dxa"/>
          </w:tblCellMar>
        </w:tblPrEx>
        <w:trPr>
          <w:trHeight w:val="495" w:hRule="atLeast"/>
          <w:jc w:val="center"/>
        </w:trPr>
        <w:tc>
          <w:tcPr>
            <w:tcW w:w="74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合计</w:t>
            </w: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100分</w:t>
            </w:r>
          </w:p>
        </w:tc>
        <w:tc>
          <w:tcPr>
            <w:tcW w:w="8022"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default" w:ascii="Times New Roman" w:hAnsi="Times New Roman" w:eastAsia="仿宋_GB2312" w:cs="Times New Roman"/>
                <w:sz w:val="20"/>
                <w:szCs w:val="20"/>
                <w:highlight w:val="none"/>
                <w:lang w:val="en-US" w:eastAsia="zh-CN"/>
              </w:rPr>
            </w:pPr>
            <w:r>
              <w:rPr>
                <w:rFonts w:hint="default" w:ascii="Times New Roman" w:hAnsi="Times New Roman" w:eastAsia="仿宋_GB2312" w:cs="Times New Roman"/>
                <w:sz w:val="20"/>
                <w:szCs w:val="20"/>
                <w:highlight w:val="none"/>
              </w:rPr>
              <w:t>　</w:t>
            </w:r>
            <w:r>
              <w:rPr>
                <w:rFonts w:hint="eastAsia" w:ascii="Times New Roman" w:hAnsi="Times New Roman" w:eastAsia="仿宋_GB2312" w:cs="Times New Roman"/>
                <w:sz w:val="20"/>
                <w:szCs w:val="20"/>
                <w:highlight w:val="none"/>
                <w:lang w:val="en-US" w:eastAsia="zh-CN"/>
              </w:rPr>
              <w:t>98分</w:t>
            </w:r>
          </w:p>
        </w:tc>
      </w:tr>
    </w:tbl>
    <w:p>
      <w:pPr>
        <w:keepNext w:val="0"/>
        <w:keepLines w:val="0"/>
        <w:pageBreakBefore w:val="0"/>
        <w:widowControl w:val="0"/>
        <w:kinsoku/>
        <w:wordWrap/>
        <w:overflowPunct/>
        <w:topLinePunct w:val="0"/>
        <w:autoSpaceDE/>
        <w:autoSpaceDN/>
        <w:bidi w:val="0"/>
        <w:adjustRightInd/>
        <w:snapToGrid/>
        <w:spacing w:afterLines="0" w:line="360" w:lineRule="auto"/>
        <w:ind w:right="0" w:rightChars="0"/>
        <w:jc w:val="both"/>
        <w:textAlignment w:val="auto"/>
        <w:rPr>
          <w:rFonts w:hint="eastAsia" w:ascii="仿宋_GB2312" w:hAnsi="仿宋_GB2312" w:eastAsia="仿宋_GB2312" w:cs="仿宋_GB2312"/>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spacing w:afterLines="0" w:line="360" w:lineRule="auto"/>
        <w:ind w:right="0" w:rightChars="0"/>
        <w:jc w:val="both"/>
        <w:textAlignment w:val="auto"/>
        <w:rPr>
          <w:rFonts w:hint="eastAsia" w:ascii="Times New Roman" w:hAnsi="Times New Roman" w:eastAsia="仿宋_GB2312" w:cs="Times New Roman"/>
          <w:sz w:val="22"/>
          <w:szCs w:val="22"/>
          <w:highlight w:val="none"/>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小标宋_GBK">
    <w:altName w:val="微软雅黑"/>
    <w:panose1 w:val="02000000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B3D8791"/>
    <w:multiLevelType w:val="singleLevel"/>
    <w:tmpl w:val="8B3D8791"/>
    <w:lvl w:ilvl="0" w:tentative="0">
      <w:start w:val="4"/>
      <w:numFmt w:val="chineseCounting"/>
      <w:suff w:val="nothing"/>
      <w:lvlText w:val="%1、"/>
      <w:lvlJc w:val="left"/>
      <w:rPr>
        <w:rFonts w:hint="eastAsia"/>
      </w:rPr>
    </w:lvl>
  </w:abstractNum>
  <w:abstractNum w:abstractNumId="1">
    <w:nsid w:val="D5E8EEE1"/>
    <w:multiLevelType w:val="singleLevel"/>
    <w:tmpl w:val="D5E8EEE1"/>
    <w:lvl w:ilvl="0" w:tentative="0">
      <w:start w:val="2"/>
      <w:numFmt w:val="chineseCounting"/>
      <w:suff w:val="nothing"/>
      <w:lvlText w:val="（%1）"/>
      <w:lvlJc w:val="left"/>
      <w:rPr>
        <w:rFonts w:hint="eastAsia"/>
      </w:rPr>
    </w:lvl>
  </w:abstractNum>
  <w:abstractNum w:abstractNumId="2">
    <w:nsid w:val="F626E251"/>
    <w:multiLevelType w:val="singleLevel"/>
    <w:tmpl w:val="F626E251"/>
    <w:lvl w:ilvl="0" w:tentative="0">
      <w:start w:val="1"/>
      <w:numFmt w:val="chineseCounting"/>
      <w:suff w:val="nothing"/>
      <w:lvlText w:val="%1、"/>
      <w:lvlJc w:val="left"/>
      <w:rPr>
        <w:rFonts w:hint="eastAsia"/>
      </w:rPr>
    </w:lvl>
  </w:abstractNum>
  <w:abstractNum w:abstractNumId="3">
    <w:nsid w:val="03341D22"/>
    <w:multiLevelType w:val="singleLevel"/>
    <w:tmpl w:val="03341D22"/>
    <w:lvl w:ilvl="0" w:tentative="0">
      <w:start w:val="8"/>
      <w:numFmt w:val="chineseCounting"/>
      <w:suff w:val="nothing"/>
      <w:lvlText w:val="%1、"/>
      <w:lvlJc w:val="left"/>
      <w:rPr>
        <w:rFonts w:hint="eastAsia"/>
      </w:rPr>
    </w:lvl>
  </w:abstractNum>
  <w:abstractNum w:abstractNumId="4">
    <w:nsid w:val="5DDF8822"/>
    <w:multiLevelType w:val="singleLevel"/>
    <w:tmpl w:val="5DDF8822"/>
    <w:lvl w:ilvl="0" w:tentative="0">
      <w:start w:val="1"/>
      <w:numFmt w:val="decimal"/>
      <w:suff w:val="nothing"/>
      <w:lvlText w:val="%1、"/>
      <w:lvlJc w:val="left"/>
    </w:lvl>
  </w:abstractNum>
  <w:num w:numId="1">
    <w:abstractNumId w:val="2"/>
  </w:num>
  <w:num w:numId="2">
    <w:abstractNumId w:val="1"/>
  </w:num>
  <w:num w:numId="3">
    <w:abstractNumId w:val="0"/>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M4MTg4ZjEyNjc1NTM1YjI2NWQ0MWI0ZDY5NWMyOWMifQ=="/>
  </w:docVars>
  <w:rsids>
    <w:rsidRoot w:val="59886344"/>
    <w:rsid w:val="00BA3141"/>
    <w:rsid w:val="02D85ECB"/>
    <w:rsid w:val="0DCD1B79"/>
    <w:rsid w:val="10742115"/>
    <w:rsid w:val="16E42186"/>
    <w:rsid w:val="22E546B9"/>
    <w:rsid w:val="287340E9"/>
    <w:rsid w:val="29BB698E"/>
    <w:rsid w:val="2B06545F"/>
    <w:rsid w:val="2BB37649"/>
    <w:rsid w:val="2E2B0F83"/>
    <w:rsid w:val="2F040DFD"/>
    <w:rsid w:val="36BE00B0"/>
    <w:rsid w:val="373C2D78"/>
    <w:rsid w:val="39395D34"/>
    <w:rsid w:val="4BE44447"/>
    <w:rsid w:val="50F53EFC"/>
    <w:rsid w:val="57EE5616"/>
    <w:rsid w:val="59886344"/>
    <w:rsid w:val="640D4B5C"/>
    <w:rsid w:val="66FE568B"/>
    <w:rsid w:val="6B1B42CF"/>
    <w:rsid w:val="724203AC"/>
    <w:rsid w:val="788A2217"/>
    <w:rsid w:val="79733540"/>
    <w:rsid w:val="7EE67CD6"/>
    <w:rsid w:val="DFEF88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仿宋" w:hAnsi="仿宋" w:eastAsia="宋体" w:cs="Times New Roman"/>
      <w:kern w:val="0"/>
      <w:sz w:val="28"/>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semiHidden/>
    <w:qFormat/>
    <w:uiPriority w:val="0"/>
    <w:rPr>
      <w:rFonts w:ascii="仿宋" w:hAnsi="仿宋" w:eastAsia="仿宋" w:cs="仿宋"/>
      <w:sz w:val="31"/>
      <w:szCs w:val="31"/>
      <w:lang w:val="en-US" w:eastAsia="en-US" w:bidi="ar-SA"/>
    </w:rPr>
  </w:style>
  <w:style w:type="paragraph" w:customStyle="1" w:styleId="5">
    <w:name w:val="列出段落1"/>
    <w:basedOn w:val="1"/>
    <w:autoRedefine/>
    <w:qFormat/>
    <w:uiPriority w:val="34"/>
    <w:pPr>
      <w:ind w:firstLine="420" w:firstLineChars="200"/>
    </w:pPr>
  </w:style>
  <w:style w:type="paragraph" w:styleId="6">
    <w:name w:val="List Paragraph"/>
    <w:basedOn w:val="1"/>
    <w:autoRedefine/>
    <w:qFormat/>
    <w:uiPriority w:val="99"/>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2024-03-18T08:36:00Z</dcterms:created>
  <dc:creator>Administrator</dc:creator>
  <cp:lastModifiedBy>SDDD</cp:lastModifiedBy>
  <dcterms:modified xsi:type="dcterms:W3CDTF">2024-06-28T03:38:32Z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6182D3A10D564617983F46DEE354AEAF</vt:lpwstr>
  </property>
</Properties>
</file>