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jc w:val="center"/>
        <w:rPr>
          <w:rFonts w:ascii="Times New Roman" w:hAnsi="Times New Roman" w:eastAsia="方正小标宋_GBK"/>
          <w:sz w:val="52"/>
          <w:szCs w:val="5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2023年度岳阳市君山区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钱粮湖镇中学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整体支出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绩效自评报告</w:t>
      </w:r>
    </w:p>
    <w:p>
      <w:pPr>
        <w:jc w:val="center"/>
        <w:rPr>
          <w:rFonts w:ascii="Times New Roman" w:hAnsi="Times New Roman" w:eastAsia="方正小标宋_GBK"/>
          <w:b/>
          <w:sz w:val="52"/>
          <w:szCs w:val="52"/>
        </w:rPr>
      </w:pPr>
    </w:p>
    <w:p>
      <w:pPr>
        <w:jc w:val="center"/>
        <w:rPr>
          <w:rFonts w:ascii="Times New Roman" w:hAnsi="Times New Roman" w:eastAsia="楷体_GB2312"/>
          <w:b/>
          <w:sz w:val="32"/>
          <w:szCs w:val="32"/>
        </w:rPr>
      </w:pPr>
    </w:p>
    <w:p>
      <w:pPr>
        <w:jc w:val="center"/>
        <w:rPr>
          <w:rFonts w:ascii="Times New Roman" w:hAnsi="Times New Roman" w:eastAsia="楷体_GB2312"/>
          <w:b/>
          <w:sz w:val="32"/>
          <w:szCs w:val="32"/>
        </w:rPr>
      </w:pPr>
    </w:p>
    <w:p>
      <w:pPr>
        <w:jc w:val="center"/>
        <w:rPr>
          <w:rFonts w:ascii="Times New Roman" w:hAnsi="Times New Roman" w:eastAsia="楷体_GB2312"/>
          <w:b/>
          <w:sz w:val="32"/>
          <w:szCs w:val="32"/>
        </w:rPr>
      </w:pPr>
    </w:p>
    <w:p>
      <w:pPr>
        <w:jc w:val="center"/>
        <w:rPr>
          <w:rFonts w:ascii="Times New Roman" w:hAnsi="Times New Roman" w:eastAsia="楷体_GB2312"/>
          <w:b/>
          <w:sz w:val="32"/>
          <w:szCs w:val="32"/>
        </w:rPr>
      </w:pPr>
    </w:p>
    <w:p>
      <w:pPr>
        <w:jc w:val="center"/>
        <w:rPr>
          <w:rFonts w:ascii="Times New Roman" w:hAnsi="Times New Roman" w:eastAsia="楷体_GB2312"/>
          <w:b/>
          <w:sz w:val="32"/>
          <w:szCs w:val="32"/>
        </w:rPr>
      </w:pPr>
    </w:p>
    <w:p>
      <w:pPr>
        <w:jc w:val="center"/>
        <w:rPr>
          <w:rFonts w:ascii="Times New Roman" w:hAnsi="Times New Roman" w:eastAsia="楷体_GB2312"/>
          <w:b/>
          <w:sz w:val="32"/>
          <w:szCs w:val="32"/>
        </w:rPr>
      </w:pP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部门（单位）名称：</w:t>
      </w:r>
      <w:r>
        <w:rPr>
          <w:rFonts w:ascii="Times New Roman" w:hAnsi="Times New Roman" w:eastAsia="仿宋_GB2312"/>
          <w:sz w:val="32"/>
          <w:szCs w:val="32"/>
          <w:u w:val="single"/>
        </w:rPr>
        <w:t>（盖章）</w:t>
      </w:r>
    </w:p>
    <w:p>
      <w:pPr>
        <w:spacing w:line="600" w:lineRule="exact"/>
        <w:jc w:val="center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2024</w:t>
      </w:r>
      <w:r>
        <w:rPr>
          <w:rFonts w:ascii="Times New Roman" w:hAnsi="Times New Roman" w:eastAsia="楷体_GB2312"/>
          <w:sz w:val="32"/>
          <w:szCs w:val="32"/>
        </w:rPr>
        <w:t>年</w:t>
      </w:r>
      <w:r>
        <w:rPr>
          <w:rFonts w:hint="eastAsia" w:ascii="Times New Roman" w:hAnsi="Times New Roman" w:eastAsia="楷体_GB2312"/>
          <w:sz w:val="32"/>
          <w:szCs w:val="32"/>
        </w:rPr>
        <w:t>6</w:t>
      </w:r>
      <w:r>
        <w:rPr>
          <w:rFonts w:ascii="Times New Roman" w:hAnsi="Times New Roman" w:eastAsia="楷体_GB2312"/>
          <w:sz w:val="32"/>
          <w:szCs w:val="32"/>
        </w:rPr>
        <w:t>月</w:t>
      </w:r>
      <w:r>
        <w:rPr>
          <w:rFonts w:hint="eastAsia" w:ascii="Times New Roman" w:hAnsi="Times New Roman" w:eastAsia="楷体_GB2312"/>
          <w:sz w:val="32"/>
          <w:szCs w:val="32"/>
        </w:rPr>
        <w:t>2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楷体_GB2312"/>
          <w:sz w:val="32"/>
          <w:szCs w:val="32"/>
        </w:rPr>
        <w:t>日</w:t>
      </w:r>
    </w:p>
    <w:p>
      <w:pPr>
        <w:adjustRightInd w:val="0"/>
        <w:snapToGrid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仿宋_GB2312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2023年度岳阳市君山区</w:t>
      </w:r>
    </w:p>
    <w:p>
      <w:pPr>
        <w:adjustRightInd w:val="0"/>
        <w:snapToGrid w:val="0"/>
        <w:spacing w:line="360" w:lineRule="auto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钱粮湖镇中学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整体支出</w:t>
      </w:r>
    </w:p>
    <w:p>
      <w:pPr>
        <w:adjustRightInd w:val="0"/>
        <w:snapToGrid w:val="0"/>
        <w:spacing w:line="360" w:lineRule="auto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绩效自评报告</w:t>
      </w:r>
    </w:p>
    <w:p>
      <w:pPr>
        <w:adjustRightInd w:val="0"/>
        <w:snapToGrid w:val="0"/>
        <w:spacing w:line="360" w:lineRule="auto"/>
        <w:ind w:firstLine="560" w:firstLineChars="200"/>
      </w:pPr>
    </w:p>
    <w:p>
      <w:pPr>
        <w:widowControl/>
        <w:shd w:val="clear" w:color="auto" w:fill="FFFFFF"/>
        <w:spacing w:line="23" w:lineRule="atLeast"/>
        <w:ind w:firstLine="600"/>
        <w:rPr>
          <w:rFonts w:hint="eastAsia" w:asciiTheme="minorEastAsia" w:hAnsiTheme="minorEastAsia" w:eastAsiaTheme="minorEastAsia" w:cstheme="minorEastAsia"/>
          <w:color w:val="333333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color="auto" w:fill="FFFFFF"/>
        </w:rPr>
        <w:t>为全面贯彻落实《中共中央 国务院关于全面实施预算绩效管理的意见 》（中发〔2018〕34号）和《中共湖南省委办公厅 湖南省人民政府办公厅关于全面实施预算绩效管理的实施意见》（湘办发〔2019〕10号）精神，为进一步规范财政资金管理，强化绩效和责任意识，切实提高财政资金使用效益，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根据《关于开展2023年度财政支出绩效自评工作的通知》（岳君财〔2024〕25号）文件精神，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color="auto" w:fill="FFFFFF"/>
        </w:rPr>
        <w:t>结合实际，我单位组织成立了绩效评价工作小组，评价小组采取座谈等方式听取情况，检查基本支出、项目支出有关账目，收集整理支出相关资料，并根据各部门（处室）报送的绩效自评材料进行分析、总结，现将我单位整体支出绩效自评结果报告如下：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一、单位基本情况</w:t>
      </w:r>
    </w:p>
    <w:p>
      <w:pPr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　　（一）职能职责</w:t>
      </w:r>
    </w:p>
    <w:p>
      <w:pPr>
        <w:adjustRightInd w:val="0"/>
        <w:snapToGrid w:val="0"/>
        <w:spacing w:line="360" w:lineRule="auto"/>
        <w:ind w:firstLine="480" w:firstLineChars="150"/>
        <w:rPr>
          <w:rFonts w:hint="eastAsia" w:asciiTheme="minorEastAsia" w:hAnsiTheme="minorEastAsia" w:eastAsiaTheme="minorEastAsia" w:cstheme="minorEastAsia"/>
          <w:color w:val="0D0D0D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</w:rPr>
        <w:t>我校是全日制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  <w:lang w:val="en-US" w:eastAsia="zh-CN"/>
        </w:rPr>
        <w:t>完全中学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</w:rPr>
        <w:t>，学校为财政全额拨款事业单位。学校的主要职责是：全面贯彻国家教育方针，培养学生的创新精神与实践能力，使之成为社会主义事业的建设者和接班人。学校实施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  <w:lang w:val="en-US" w:eastAsia="zh-CN"/>
        </w:rPr>
        <w:t>中学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</w:rPr>
        <w:t>义务教育，促进基础教育发展；承担义务教育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  <w:lang w:val="en-US" w:eastAsia="zh-CN"/>
        </w:rPr>
        <w:t>中学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</w:rPr>
        <w:t>阶段的教育教学。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（二）机构设置</w:t>
      </w:r>
    </w:p>
    <w:p>
      <w:pPr>
        <w:adjustRightInd w:val="0"/>
        <w:snapToGrid w:val="0"/>
        <w:spacing w:line="360" w:lineRule="auto"/>
        <w:ind w:firstLine="480" w:firstLineChars="150"/>
        <w:rPr>
          <w:rFonts w:hint="eastAsia" w:asciiTheme="minorEastAsia" w:hAnsiTheme="minorEastAsia" w:eastAsiaTheme="minorEastAsia" w:cstheme="minorEastAsia"/>
          <w:color w:val="0D0D0D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</w:rPr>
        <w:t>岳阳市君山区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  <w:lang w:val="en-US" w:eastAsia="zh-CN"/>
        </w:rPr>
        <w:t>钱粮湖镇中学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</w:rPr>
        <w:t>为君山区教育局所属公益一类事业单位，经费形式为财政全额拨款。学校核定编制数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  <w:lang w:val="en-US" w:eastAsia="zh-CN"/>
        </w:rPr>
        <w:t>126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</w:rPr>
        <w:t>名，其中全额编制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  <w:lang w:val="en-US" w:eastAsia="zh-CN"/>
        </w:rPr>
        <w:t>126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</w:rPr>
        <w:t>名，差额编制0名，自收自支0名。该单位部门预算实有人员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  <w:lang w:val="en-US" w:eastAsia="zh-CN"/>
        </w:rPr>
        <w:t>126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</w:rPr>
        <w:t>人，其中在职人员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  <w:lang w:val="en-US" w:eastAsia="zh-CN"/>
        </w:rPr>
        <w:t>126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</w:rPr>
        <w:t>，离休人员0人，退休人员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</w:rPr>
        <w:t>人，其他人员0人。现有教学班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  <w:lang w:val="en-US" w:eastAsia="zh-CN"/>
        </w:rPr>
        <w:t>15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</w:rPr>
        <w:t>个，学生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  <w:lang w:val="en-US" w:eastAsia="zh-CN"/>
        </w:rPr>
        <w:t>711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</w:rPr>
        <w:t>人。岳阳市君山区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  <w:lang w:val="en-US" w:eastAsia="zh-CN"/>
        </w:rPr>
        <w:t>钱粮湖实验小学</w:t>
      </w:r>
      <w:r>
        <w:rPr>
          <w:rFonts w:hint="eastAsia" w:asciiTheme="minorEastAsia" w:hAnsiTheme="minorEastAsia" w:eastAsiaTheme="minorEastAsia" w:cstheme="minorEastAsia"/>
          <w:color w:val="0D0D0D"/>
          <w:sz w:val="32"/>
          <w:szCs w:val="32"/>
        </w:rPr>
        <w:t>设置了校长室、办公室、政教处、教务处、总务处、工会6个内设机构。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二、一般公共预算支出情况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（一）基本支出情况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2023年基本支出为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2988.21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万元，是指为保障单位机构正常运转、完成日常工作任务而发生的各项支出，包括用于基本工资、津贴补贴等人员经费以及办公费、印刷费、水电费、差旅费等日常公用经费。其中工资福利支出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2523.37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万元；商品和服务支出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294.00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万元；对个人和家庭的补助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170.84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资本性支出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万元。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（二）项目支出情况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2023年项目支出为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866.03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万元，是指单位为完成特定行政工作任务或事业发展目标而发生的支出，包括有关业务工作经费等。其中：其中工资福利支出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115.51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万元；商品和服务支出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719.</w:t>
      </w:r>
    </w:p>
    <w:p>
      <w:pPr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60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万元；对个人和家庭补助支出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18.20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万元；资本性支出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12.72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三、政府性基金预算支出情况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2023年度本单位无政府性基金支出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四、国有资本经营预算支出情况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2023年度本单位无国有资本经营支出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五、社会保险基金预算支出情况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2023年度本单位无社会保险基金支出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六、部门整体支出绩效情况</w:t>
      </w:r>
    </w:p>
    <w:p>
      <w:pPr>
        <w:widowControl/>
        <w:adjustRightInd w:val="0"/>
        <w:snapToGrid w:val="0"/>
        <w:spacing w:line="360" w:lineRule="auto"/>
        <w:ind w:firstLine="643" w:firstLineChars="20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（一）绩效评价结果</w:t>
      </w:r>
    </w:p>
    <w:p>
      <w:pPr>
        <w:widowControl/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　　对照《关于开展2023年度财政支出绩效自评工作的通知》（岳君财〔2024〕25号）文件要求，我校从预算执行、预算管理、履职效能、社会效应等方面对2023年部门整体支出绩效开展了评价。绩效自评综合得分为98分，评价等级为“优”。</w:t>
      </w:r>
    </w:p>
    <w:p>
      <w:pPr>
        <w:widowControl/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　　（二）年度绩效目标完成情况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通过绩效评价工作组对全部项目的实施情况进行了整体跟踪，从项目安排、实施、资金的拨付进行了综合评价，认为教育资金项目任务目标明确，资金到位比较及时，并制定了科学的实施计划，项目实施过程中严格按照有关项目管理和经费管理规定执行，项目持续稳定进展，具有较好的经济和社会效益。单位项目基础数据信息真实、资料收集齐全，每一个项目都有完整的资料，实施进度也基本达到上级的要求。目前项目已全部实施完成，学生、家长、人民群众都很满意。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七、存在的问题及原因分析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是各相关部门处室对绩效评价工作的重要性认识有待进一步提高；二是项目支出绩效评价指标体系不完善，给考核评价及评分工作带来一定的困难。针对上述存在的问题，我局已作出工作要求，加强对项目开展的可行性、必要性做好充分调研，依据实际情况做好经费支出预算，制定合理的项目实施计划；项目实施前期，做好各项准备工作；在实施阶段，做好监督，跟踪管理；实施后及时总结自评。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八、下一步改进措施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一）细化预算编制工作，认真做好预算的编制。进一步加强预算绩效管理意识，严格按照预算编制的相关制度和要求进行预算编制，优先保障固定性的、相对刚性的费用支出项目，进一步提高预算编制的科学性、严谨性和可控性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（二）加强财务管理，严格财务审核。在费用报账支付时，按照预算编制时的金额和用途进行资金使用审核、列报支付、财务核算，杜绝超支现象的发生。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三）加强绩效评价结果的应用，促进预算项目规范有序开展。将绩效评价结果及时通报承担工作任务的处室，对于评价结果较好的项目予以支持，激励其更好地开展工作；对评价发现问题、达不到绩效目标或评价结果较差的项目予以纠正，充分发挥财政资金使用效益。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九、部门整体支出绩效自评结果拟应用和公开情况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一是从绩效自评结果来看，君山区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钱粮湖实验小学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部门整体支出绩效较好，建立了绩效评价与部门预算相结合的结果应用机制，采取项目预期绩效目标申报制度，强化评价结果在部门预算编制和执行中的应用，实现绩效评价结果在部门预算编制和执行中的应用，促进财政资金的合理分配与有效使用。二是根据预算绩效评价的有关规定，君山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钱粮湖实验小学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将在区政府门户网站公开绩效自评报告。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十、其他需要说明的情况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无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附件：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1.部门整体支出绩效评价基础数据表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2.部门整体支出绩效自评表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3.项目支出绩效自评表（一个一级项目支出一张表）</w:t>
      </w:r>
    </w:p>
    <w:p>
      <w:pPr>
        <w:widowControl/>
        <w:spacing w:line="64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eastAsia="仿宋" w:cs="仿宋"/>
          <w:sz w:val="30"/>
          <w:szCs w:val="30"/>
        </w:rPr>
        <w:br w:type="page"/>
      </w:r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spacing w:before="156" w:beforeLines="50" w:after="156" w:afterLines="50"/>
        <w:jc w:val="center"/>
        <w:rPr>
          <w:rFonts w:ascii="方正小标宋简体" w:hAnsi="方正小标宋简体" w:eastAsia="方正小标宋简体" w:cs="方正小标宋简体"/>
          <w:spacing w:val="-6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部门整体支出</w:t>
      </w:r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</w:rPr>
        <w:t>绩效自评工作考核评分表</w:t>
      </w:r>
    </w:p>
    <w:tbl>
      <w:tblPr>
        <w:tblStyle w:val="4"/>
        <w:tblW w:w="99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180"/>
        <w:gridCol w:w="5029"/>
        <w:gridCol w:w="30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tblHeader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bCs/>
                <w:sz w:val="21"/>
                <w:szCs w:val="21"/>
              </w:rPr>
            </w:pPr>
            <w:r>
              <w:rPr>
                <w:rFonts w:ascii="Times New Roman" w:hAnsi="Times New Roman" w:eastAsia="黑体"/>
                <w:bCs/>
                <w:sz w:val="21"/>
                <w:szCs w:val="21"/>
              </w:rPr>
              <w:t>一级指标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bCs/>
                <w:sz w:val="21"/>
                <w:szCs w:val="21"/>
              </w:rPr>
            </w:pPr>
            <w:r>
              <w:rPr>
                <w:rFonts w:ascii="Times New Roman" w:hAnsi="Times New Roman" w:eastAsia="黑体"/>
                <w:bCs/>
                <w:sz w:val="21"/>
                <w:szCs w:val="21"/>
              </w:rPr>
              <w:t>二级指标</w:t>
            </w:r>
          </w:p>
        </w:tc>
        <w:tc>
          <w:tcPr>
            <w:tcW w:w="5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bCs/>
                <w:sz w:val="21"/>
                <w:szCs w:val="21"/>
              </w:rPr>
            </w:pPr>
            <w:r>
              <w:rPr>
                <w:rFonts w:ascii="Times New Roman" w:hAnsi="Times New Roman" w:eastAsia="黑体"/>
                <w:bCs/>
                <w:sz w:val="21"/>
                <w:szCs w:val="21"/>
              </w:rPr>
              <w:t>评分标准</w:t>
            </w:r>
          </w:p>
        </w:tc>
        <w:tc>
          <w:tcPr>
            <w:tcW w:w="3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bCs/>
                <w:sz w:val="21"/>
                <w:szCs w:val="21"/>
              </w:rPr>
            </w:pPr>
            <w:r>
              <w:rPr>
                <w:rFonts w:ascii="Times New Roman" w:hAnsi="Times New Roman" w:eastAsia="黑体"/>
                <w:bCs/>
                <w:sz w:val="21"/>
                <w:szCs w:val="21"/>
              </w:rPr>
              <w:t>所需佐证材料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7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布置工作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10分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自评通知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（8分）</w:t>
            </w:r>
          </w:p>
        </w:tc>
        <w:tc>
          <w:tcPr>
            <w:tcW w:w="5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.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印发绩效自评通知的得2分，否则不得分。</w:t>
            </w:r>
          </w:p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.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按照本规程规定，绩效自评通知包括自评范围、自评主要依据、自评主要内容、自评程序和步骤、有关要求等内容，并附有本通知要求的附件的，得6分；否则缺1项扣1分，最多扣6分。</w:t>
            </w:r>
          </w:p>
        </w:tc>
        <w:tc>
          <w:tcPr>
            <w:tcW w:w="3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绩效自评通知盖章的电子版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7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工作小组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（2分）</w:t>
            </w:r>
          </w:p>
        </w:tc>
        <w:tc>
          <w:tcPr>
            <w:tcW w:w="5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成立绩效自评工作小组的得2分，否则不得分。</w:t>
            </w:r>
          </w:p>
        </w:tc>
        <w:tc>
          <w:tcPr>
            <w:tcW w:w="3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本部门、本单位预算绩效管理领导小组/绩效评价工作小组有关文件盖章的电子版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7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实施评价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20分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单位自查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（10分）</w:t>
            </w:r>
          </w:p>
        </w:tc>
        <w:tc>
          <w:tcPr>
            <w:tcW w:w="5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市级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预算部门本级和所属单位都要开展绩效自查，转移支付项目单位都要开展绩效自查，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县、区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级主管部门都要汇总本区域转移支付情况；以上各项每发现一个单位没有做相应工作的，扣1分，最多扣10分。</w:t>
            </w:r>
          </w:p>
        </w:tc>
        <w:tc>
          <w:tcPr>
            <w:tcW w:w="3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转移支付项目单位名称和资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金情况清单</w:t>
            </w:r>
          </w:p>
          <w:p>
            <w:pPr>
              <w:numPr>
                <w:ilvl w:val="0"/>
                <w:numId w:val="1"/>
              </w:num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有转移支付资金的各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县区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主管部门汇总情况的盖章PDF版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7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提交报告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（10分）</w:t>
            </w:r>
          </w:p>
        </w:tc>
        <w:tc>
          <w:tcPr>
            <w:tcW w:w="80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按时向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市财政局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报送报告的得10分；每推迟一个工作日报送报告的扣1分，最多扣10分。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7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自评报告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70分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完整性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（15分）</w:t>
            </w:r>
          </w:p>
        </w:tc>
        <w:tc>
          <w:tcPr>
            <w:tcW w:w="8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.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绩效自评报告正文部分内容齐全的，得8分；否则每少一个部分扣2分，最多扣8分。</w:t>
            </w:r>
          </w:p>
          <w:p>
            <w:pPr>
              <w:jc w:val="lef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.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绩效自评报告附件部分内容齐全的，得7分；否则每少一个部分扣2分，最多扣7分。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7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绩效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自评表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（20分）</w:t>
            </w:r>
          </w:p>
        </w:tc>
        <w:tc>
          <w:tcPr>
            <w:tcW w:w="8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1、部门整体支出和项目支出绩效指标反映产出、效益、服务对象满意度方面的指标和预算执行率的权重符合《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岳阳市市级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预算部门绩效自评操作规程》要求的，得5分，否则按比例扣除相应的分数。</w:t>
            </w:r>
          </w:p>
          <w:p>
            <w:pPr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.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部门整体支出和项目支出绩效指标全部细化到三级指标的，得5分；部分细化的，酌情扣分；没有细化的，不得分。</w:t>
            </w:r>
          </w:p>
          <w:p>
            <w:pPr>
              <w:jc w:val="lef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3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.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部门整体支出和项目支出三级绩效指标内涵明确、具体、可衡量的得5分；突出核心指标，精简实用的得3分；指标与部门整体支出和项目支出密切相关，全面反映产出和效益的得2分；否则，每项酌情扣分，最多扣10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7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反映问</w:t>
            </w:r>
          </w:p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题情况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（20分）</w:t>
            </w:r>
          </w:p>
        </w:tc>
        <w:tc>
          <w:tcPr>
            <w:tcW w:w="8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从预算和预算绩效管理，部门履职效能，资金分配、使用和管理，资产和财务管理，政府采购等方面归纳问题、分析原因全面的，得20分；反映问题、分析原因较全面的，得16—18分；反映问题、分析原因不全面的，得13—15分；问题未归纳且过于简单的，得10—12分；只提出资金不足问题的不得分；其他情况酌情扣分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建议情况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（15分）</w:t>
            </w:r>
          </w:p>
        </w:tc>
        <w:tc>
          <w:tcPr>
            <w:tcW w:w="8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建议与问题对应且全面的得15分，建议比较全面的得12—14分，建议不全面的得9—11分，建议过于简单的得6—8分，只提出加大资金投入建议的不得分；其他情况酌情扣分。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合计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100分</w:t>
            </w:r>
          </w:p>
        </w:tc>
        <w:tc>
          <w:tcPr>
            <w:tcW w:w="8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</w:rPr>
              <w:t>98</w:t>
            </w:r>
          </w:p>
        </w:tc>
      </w:tr>
    </w:tbl>
    <w:p/>
    <w:sectPr>
      <w:pgSz w:w="11906" w:h="16838"/>
      <w:pgMar w:top="1497" w:right="1576" w:bottom="1213" w:left="151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DF8822"/>
    <w:multiLevelType w:val="singleLevel"/>
    <w:tmpl w:val="5DDF882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yNmI0OTIzNTc0Yzg4NWVjZTcwZTdkODkwMDFkNTcifQ=="/>
  </w:docVars>
  <w:rsids>
    <w:rsidRoot w:val="61B30999"/>
    <w:rsid w:val="00181ADD"/>
    <w:rsid w:val="00255F49"/>
    <w:rsid w:val="002B37CA"/>
    <w:rsid w:val="002E5A66"/>
    <w:rsid w:val="003427DD"/>
    <w:rsid w:val="003E4A2D"/>
    <w:rsid w:val="004B2B21"/>
    <w:rsid w:val="005F6B7A"/>
    <w:rsid w:val="00727F4E"/>
    <w:rsid w:val="00844153"/>
    <w:rsid w:val="00854BD2"/>
    <w:rsid w:val="00921EFE"/>
    <w:rsid w:val="00947381"/>
    <w:rsid w:val="00983313"/>
    <w:rsid w:val="00A52044"/>
    <w:rsid w:val="00C0156D"/>
    <w:rsid w:val="00C407C3"/>
    <w:rsid w:val="00CE747E"/>
    <w:rsid w:val="00CF05EF"/>
    <w:rsid w:val="00ED700C"/>
    <w:rsid w:val="00FE5E82"/>
    <w:rsid w:val="06532730"/>
    <w:rsid w:val="099914F5"/>
    <w:rsid w:val="0E3B3EC9"/>
    <w:rsid w:val="0EE25329"/>
    <w:rsid w:val="172736E1"/>
    <w:rsid w:val="193F1876"/>
    <w:rsid w:val="1C1428F0"/>
    <w:rsid w:val="1C6C7F21"/>
    <w:rsid w:val="1D413B98"/>
    <w:rsid w:val="28AB1678"/>
    <w:rsid w:val="2A151926"/>
    <w:rsid w:val="2B0476F0"/>
    <w:rsid w:val="2F762E67"/>
    <w:rsid w:val="34027E18"/>
    <w:rsid w:val="350C2438"/>
    <w:rsid w:val="3A611E60"/>
    <w:rsid w:val="41807B75"/>
    <w:rsid w:val="43011252"/>
    <w:rsid w:val="47290B85"/>
    <w:rsid w:val="4AC56A15"/>
    <w:rsid w:val="53292C98"/>
    <w:rsid w:val="59E15C0D"/>
    <w:rsid w:val="5BFE7BBD"/>
    <w:rsid w:val="5C294C3A"/>
    <w:rsid w:val="5CD21165"/>
    <w:rsid w:val="61B30999"/>
    <w:rsid w:val="65447698"/>
    <w:rsid w:val="6B377AFC"/>
    <w:rsid w:val="6D59569C"/>
    <w:rsid w:val="6EFE1F56"/>
    <w:rsid w:val="6F034706"/>
    <w:rsid w:val="6F780481"/>
    <w:rsid w:val="72FF2553"/>
    <w:rsid w:val="74744A68"/>
    <w:rsid w:val="7796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宋体" w:cs="Times New Roman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rFonts w:hint="eastAsia"/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sz w:val="24"/>
    </w:rPr>
  </w:style>
  <w:style w:type="paragraph" w:styleId="6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7</Pages>
  <Words>3111</Words>
  <Characters>3267</Characters>
  <Lines>24</Lines>
  <Paragraphs>6</Paragraphs>
  <TotalTime>69</TotalTime>
  <ScaleCrop>false</ScaleCrop>
  <LinksUpToDate>false</LinksUpToDate>
  <CharactersWithSpaces>3279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2024-06-21T00:55:00Z</dcterms:created>
  <dc:creator>蔡智明</dc:creator>
  <cp:lastModifiedBy>Administrator</cp:lastModifiedBy>
  <cp:lastPrinted>2024-06-27T11:09:35Z</cp:lastPrinted>
  <dcterms:modified xsi:type="dcterms:W3CDTF">2024-06-27T11:10:41Z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22A0638B0B9245D6B57CFD00DD454020_11</vt:lpwstr>
  </property>
</Properties>
</file>