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岳阳市君山区钱粮湖垸电排总站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单位整体支出绩效自评报告</w:t>
      </w:r>
    </w:p>
    <w:p>
      <w:pPr>
        <w:jc w:val="center"/>
        <w:rPr>
          <w:rFonts w:hint="default" w:ascii="Times New Roman" w:hAnsi="Times New Roman" w:eastAsia="方正小标宋_GBK" w:cs="Times New Roman"/>
          <w:b/>
          <w:sz w:val="52"/>
          <w:szCs w:val="52"/>
          <w:highlight w:val="none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jc w:val="both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spacing w:line="600" w:lineRule="exact"/>
        <w:ind w:firstLine="1920" w:firstLineChars="600"/>
        <w:jc w:val="both"/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部门（单位）名称：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>（盖章）</w:t>
      </w:r>
    </w:p>
    <w:p>
      <w:pPr>
        <w:spacing w:line="6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年  月  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岳阳市君山区钱粮湖垸电排总站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单位整体支出绩效自评报告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部门（单位）基本情况</w:t>
      </w:r>
    </w:p>
    <w:p>
      <w:pPr>
        <w:numPr>
          <w:ilvl w:val="0"/>
          <w:numId w:val="2"/>
        </w:num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单位职能</w:t>
      </w:r>
    </w:p>
    <w:p>
      <w:pPr>
        <w:widowControl/>
        <w:spacing w:line="600" w:lineRule="exact"/>
        <w:ind w:firstLine="627" w:firstLineChars="196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负责院内大、中、小型排灌机埠的运行、日常管理和维护。 </w:t>
      </w:r>
    </w:p>
    <w:p>
      <w:pPr>
        <w:widowControl/>
        <w:spacing w:line="600" w:lineRule="exact"/>
        <w:ind w:firstLine="627" w:firstLineChars="196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负责院内排渍、排涝、灌溉等工作，合理调配专业技术操作人员，为农业生产和水利建设服好务，协助搞好沟渠、调蓄湖泊的水系调度，做好水情和雨情上报记录。</w:t>
      </w:r>
    </w:p>
    <w:p>
      <w:pPr>
        <w:widowControl/>
        <w:spacing w:line="600" w:lineRule="exact"/>
        <w:ind w:firstLine="627" w:firstLineChars="196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完成业务主管部门及其乡镇交办的其他工作任务。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-7937500</wp:posOffset>
            </wp:positionH>
            <wp:positionV relativeFrom="page">
              <wp:posOffset>482600</wp:posOffset>
            </wp:positionV>
            <wp:extent cx="7581900" cy="10706100"/>
            <wp:effectExtent l="0" t="0" r="0" b="0"/>
            <wp:wrapNone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70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b/>
          <w:sz w:val="32"/>
          <w:szCs w:val="32"/>
          <w:highlight w:val="none"/>
          <w:lang w:eastAsia="zh-CN"/>
        </w:rPr>
        <w:t>二</w:t>
      </w:r>
      <w:r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、机构设置</w:t>
      </w:r>
    </w:p>
    <w:p>
      <w:pPr>
        <w:widowControl/>
        <w:spacing w:line="600" w:lineRule="exact"/>
        <w:ind w:firstLine="627" w:firstLineChars="196"/>
        <w:jc w:val="left"/>
        <w:rPr>
          <w:rFonts w:hint="eastAsia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君山区钱粮湖垸电排总站隶属于君山区水利局二级机构。内设股室3个，分别为排灌业务组、办公室和财务室。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二、一般公共预算支出情况</w:t>
      </w:r>
    </w:p>
    <w:p>
      <w:pPr>
        <w:numPr>
          <w:ilvl w:val="0"/>
          <w:numId w:val="3"/>
        </w:numPr>
        <w:spacing w:line="560" w:lineRule="exact"/>
        <w:ind w:firstLine="643" w:firstLineChars="200"/>
        <w:rPr>
          <w:rFonts w:hint="default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/>
          <w:bCs w:val="0"/>
          <w:sz w:val="32"/>
          <w:szCs w:val="32"/>
          <w:lang w:eastAsia="zh-CN"/>
        </w:rPr>
        <w:t>基本支出情况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楷体_GB2312" w:cs="Times New Roman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2023年本单位部门预算资金937.61万元（基本支出836.01万元，项目支出101.6万元），全年实际支出937.61万元，其中基本支出836.01万元，项目支出101.6万元，预算执行率100%。　　　　　　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单位2023年度全年预算937.61万元（工资福利支出531.92万元、商品和服务支出186.82万元、对个人和家庭的补助218.87万元、资本性支出0万元），其中一般公共预算财政拨款804.18万元。本单位2023年度基本支出836.01万元，其中人员经费750.79万元，公用经费85.22万元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基本支出主要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是指为保障单位机构正常运转、完成日常工作任务而发生的各项支出，包括用于基本工资、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绩效工资、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津贴补贴、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社会保障缴费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等人员经费，办公费、印刷费、水电费、差旅费、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公务接待费、维修（护）费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等日常公用经费，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以及离退休费用等其他对个人和家庭的补助支出。</w:t>
      </w:r>
    </w:p>
    <w:p>
      <w:pPr>
        <w:numPr>
          <w:ilvl w:val="0"/>
          <w:numId w:val="3"/>
        </w:numPr>
        <w:spacing w:line="560" w:lineRule="exact"/>
        <w:ind w:firstLine="643" w:firstLineChars="200"/>
        <w:rPr>
          <w:rFonts w:hint="default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/>
          <w:bCs w:val="0"/>
          <w:sz w:val="32"/>
          <w:szCs w:val="32"/>
          <w:lang w:eastAsia="zh-CN"/>
        </w:rPr>
        <w:t>项目支出情况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2024年本单位项目支出101.6万元，主要是本单位为完成特定工作任务或事业发展目标而发生的支出，用于日常工作电排机埠的维修方面。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三、政府性基金预算支出情况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 xml:space="preserve"> 2023年本单位无此项支出。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国有资本经营预算支出情况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2023年本单位无此项支出。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社会保险基金预算支出情况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2023年本单位无此项支出。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六、部门整体支出绩效情况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2023年，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本单位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积极履职，资金管理规范，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资产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管理到位，政策执行有力，较好地完成了年度工作目标，有效发挥了财政资金的使用效率。在人员经费支出上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严格执行上级的各项制度;在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公用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经费使用上，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严格执行预算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;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在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“三公”经费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开支上，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厉行节约，从严控制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根据《部门整体支出绩效自评表》自评得分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98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分(详见附表2)，部门整体支出绩效为“优”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5"/>
        </w:numPr>
        <w:spacing w:line="560" w:lineRule="exact"/>
        <w:ind w:firstLine="643" w:firstLineChars="200"/>
        <w:rPr>
          <w:rFonts w:hint="default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/>
          <w:bCs w:val="0"/>
          <w:sz w:val="32"/>
          <w:szCs w:val="32"/>
          <w:lang w:eastAsia="zh-CN"/>
        </w:rPr>
        <w:t>2023年部门整体支出绩效目标设置及完成情况</w:t>
      </w:r>
    </w:p>
    <w:p>
      <w:pPr>
        <w:pStyle w:val="3"/>
        <w:widowControl w:val="0"/>
        <w:shd w:val="clear" w:color="auto" w:fill="FFFFFF"/>
        <w:autoSpaceDE w:val="0"/>
        <w:spacing w:before="0" w:beforeAutospacing="0" w:after="0" w:afterAutospacing="0" w:line="600" w:lineRule="exact"/>
        <w:ind w:firstLine="599" w:firstLineChars="199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目标1：</w:t>
      </w:r>
      <w:r>
        <w:rPr>
          <w:rFonts w:hint="eastAsia"/>
          <w:b/>
          <w:bCs/>
          <w:sz w:val="32"/>
          <w:szCs w:val="32"/>
          <w:lang w:val="en-US" w:eastAsia="zh-CN"/>
        </w:rPr>
        <w:t>排涝抗旱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完成情况：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2023年1月至12月电排运行情况，共开机运行14970小时，水量4187万立方米。其中排渍运行2869.5小时，水量1582.84万立方米，抗旱运行4724.5小时，水量2604.56万立方米。为加强抗旱今年电排在藕池河架设2台75Kw水泵，从藕池河抽水74台次，1776小时，抽水831万立方米，极大地减缓了良心堡镇的抗旱压力，收到良心堡镇表彰。主要做法及成效：一是主动协调。协调各镇村及时搞好沟渠清杂扫障和栏栅除草工作。二是有序调度。坚持“三制”即开机权下放制、运行及时报告制、水位严格控蓄制。根据天气即垸内沟渠水位变化，有序调度泵站设备运行，确保了排涝安全。三是信息上报。按时收集垸内雨水工情，并及时上报区防办和机电排灌股，准时为领导决策提供重要依据。四是有效抗旱。积极参与、密切配合镇村抗旱，做到随要随时随调，并改有偿服务为无偿服务，得到了群众的充分肯定。五是督促检查。总站定期不定期开展值班防守、设备维护、排涝抗旱、安全卫生督促检查，有效地促进了工作的正常开展。</w:t>
      </w:r>
    </w:p>
    <w:p>
      <w:pPr>
        <w:spacing w:line="600" w:lineRule="exact"/>
        <w:ind w:firstLine="602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目标2：</w:t>
      </w:r>
      <w:r>
        <w:rPr>
          <w:rFonts w:hint="eastAsia"/>
          <w:b/>
          <w:bCs/>
          <w:sz w:val="32"/>
          <w:szCs w:val="32"/>
          <w:lang w:val="en-US" w:eastAsia="zh-CN"/>
        </w:rPr>
        <w:t>积极投入本年度防洪防汛工作。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完成情况：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一是加强领导，严格按照防汛预案开展工作，认真落实安全生产责任制，明确目标和任务，确保各项防汛工作措施的有效落实。二是排查抢险，突出重点。根据本站特点，重点对涵闸的日夜24小时不间断巡查，及时发现问题并及时上报防指，将隐患及时消除。合理有效调度排渍，保证了农业生产的丰收。三是通过全站职工坚持不懈，不怕艰苦，胜利完成了今年防汛任务，受到乡镇及局里的一致好评。</w:t>
      </w:r>
    </w:p>
    <w:p>
      <w:pPr>
        <w:pStyle w:val="3"/>
        <w:widowControl w:val="0"/>
        <w:shd w:val="clear" w:color="auto" w:fill="FFFFFF"/>
        <w:autoSpaceDE w:val="0"/>
        <w:spacing w:before="0" w:beforeAutospacing="0" w:after="0" w:afterAutospacing="0" w:line="600" w:lineRule="exact"/>
        <w:ind w:firstLine="599" w:firstLineChars="199"/>
        <w:rPr>
          <w:rFonts w:ascii="黑体" w:hAnsi="黑体" w:eastAsia="黑体" w:cs="Times New Roman"/>
          <w:b/>
          <w:bCs/>
          <w:kern w:val="2"/>
          <w:sz w:val="32"/>
          <w:szCs w:val="32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目标3：</w:t>
      </w:r>
      <w:r>
        <w:rPr>
          <w:rFonts w:hint="eastAsia"/>
          <w:b/>
          <w:bCs/>
          <w:sz w:val="32"/>
          <w:szCs w:val="32"/>
          <w:lang w:val="en-US" w:eastAsia="zh-CN"/>
        </w:rPr>
        <w:t>维修处险。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完成情况：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一手抓机电设备维修保养，按时完成全站的预防性试验，确保全站电排的安全运行。具体做的工作是：悦来河历时1个月进行了1台电机设备的大修工作，更换硬件排泵莲盆头；古月湖电排添加防洪闸启闭机润滑脂和校正启闭机轴中心；层山电排大修4台水泵机组，更换一根电机下轴，一个叶轮总成，4个橡胶轴承，12块叶片和电机接线板，还有拍门（2号孔）插销更换；团北电排更换抗旱闸启闭电机；团南电排更换中间闸油封；团东、团南、文家湾、层山、古月湖等电排进行了为期一个多月的冬季维修保养。从2022年10月至2023年5月对良心堡电排进行了拆除重建。2023年10月至2024年4月份对团南电排进行了拆除重建。</w:t>
      </w:r>
    </w:p>
    <w:p>
      <w:pPr>
        <w:spacing w:line="560" w:lineRule="exact"/>
        <w:ind w:firstLine="602" w:firstLineChars="200"/>
        <w:textAlignment w:val="baseline"/>
        <w:rPr>
          <w:rStyle w:val="10"/>
          <w:rFonts w:ascii="宋体" w:hAnsi="宋体" w:cs="宋体"/>
          <w:b/>
          <w:bCs/>
          <w:sz w:val="32"/>
          <w:szCs w:val="32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目标4：</w:t>
      </w:r>
      <w:r>
        <w:rPr>
          <w:rFonts w:hint="eastAsia"/>
          <w:b/>
          <w:bCs/>
          <w:sz w:val="32"/>
          <w:szCs w:val="32"/>
          <w:lang w:val="en-US" w:eastAsia="zh-CN"/>
        </w:rPr>
        <w:t>安全生产。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完成情况：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我们牢固树立“预防为主，安全第一”的思想，严格按照“管生产，必须管安全”的原则，做到逢会必讲安全。抓住以下四项工作：一是开展了安全宣传教育。召开了安全专题会，张贴了安全宣传标语，悬挂了安全宣传横幅。二是落实了安全生产责任，每个电排站都明确了分站长为安全生产第一责任人，严格按一岗双责的要求狠抓落实。三是排查了安全隐患，并及时进行了整改。四是添置了安全设施。增置灭火器8个，更换及悬挂安全警示牌、禁止牌68块，做到安全工作防范于未然。</w:t>
      </w:r>
    </w:p>
    <w:p>
      <w:pPr>
        <w:numPr>
          <w:ilvl w:val="0"/>
          <w:numId w:val="5"/>
        </w:numPr>
        <w:spacing w:line="560" w:lineRule="exact"/>
        <w:ind w:firstLine="643" w:firstLineChars="200"/>
        <w:rPr>
          <w:rFonts w:hint="default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单位资产管理和整体业务实施效果情况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本单位资产设有专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门人员将单位所有资产全部录入固定资产信息系统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,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实行动态管理。资产配置严格按照规定程序报批，坚持资产配备与单位履行职能需要相适应，坚持资产管理与预算管理相结合。资产利用率高，资产配置基本合理，人均占有办公室使用面积、人均占有通用设备数量等指标均在正常范围。科学管理和使用国有资产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,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保障单位正常运转的同时，合理配备并有效使用资产，充分发挥了国有资产的使用效益和社会效益。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七、存在的问题及原因分析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（一）预算精准性有待进一步提高。由于预算编制具有不可预见性，年初安排预算时，对各项公用支出的分配安排缺乏统一的硬性标准，导致部分资金使用时需要进行指标调剂。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（二）预算绩效管理意识有待进一步加强，预算绩效管理的工作方法方式有待创新。预算绩效管理工作贯穿全年，与各个业务股室息息相关，由于对预算绩效管理的全面性和重要性缺乏深入的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了解，统揽全局的意识有所欠缺，导致预算绩效管理工作在推动过程中能够很好地完成各项工作任务，但工作质量难以实现质的飞跃。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三）财务业务水平有待进一步提高。由于财务工作内容变化较大，各项制度、政策更新快，加之财务人员忙于琐碎的日常工作，对各项新知识、新业务的学习时间、精力有限，导致财务人员预算绩效管理工作水平一般，在将预算绩效管理转化成工作成果，更好地指导各项工作的开展方面有所欠缺。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下一步改进措施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（一）加强预算编制的前瞻性，提高预算编制水平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进一步提高预算编制的科学性、合理性、严谨性和可控性，紧密结合上一年度预算执行情况和本年度预算收支变化因素，科学、合理地编制本年预算草案，避免出现预算支出与预算执行出现偏差较大的情况。落实预算执行分析，及时了解预算执行差异，合理调整、纠正预算执行偏差，切实提高部门预算收支管理水平。</w:t>
      </w:r>
    </w:p>
    <w:p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牢固树立预算绩效管理贯穿全局的理念，进一步创新工作方式方法。切实做好预算绩效管理的上传下达工作，在全单位形成将预算绩效管理意识融入到业务工作中的意识，多向优秀典型案例学习，拓宽工作思路，多想办法，想好办法，自觉提高预算绩效管理能力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三）加大财务人员培训力度，提高财务人员从业水平。督促财务人员树立常学常新的理念，及时更新知识体系，通过加大对财务人员预算绩效管理理论水平和实操的培训，提高将预算绩效管理转化成生产力的能力，更好地提高本单位的管理水平，促进各项事业更好发展。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部门整体支出绩效自评结果拟应用和公开情况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2023年度部门整体支出绩效自评结果拟按湖南省财政厅关于印发《湖南省预算支出绩效评价管理办法》的通知（湘财绩〔2020〕7号）要求，在整体支出项目绩效目标编制申报时，根据项目实际情况和预期可达成的目标，设置更科学合理的指标。严格按规定内容、时限在君山区政务中心门户网站公开，接受社会监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  <w:t>十、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其他需要说明的情况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br w:type="page"/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部门整体支出绩效评价基础数据表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部门整体支出绩效自评表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部门整体支出绩效自评工作考核评分表</w:t>
      </w:r>
    </w:p>
    <w:p>
      <w:pPr>
        <w:spacing w:after="120" w:afterLines="50" w:line="600" w:lineRule="exact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spacing w:after="120" w:afterLines="50" w:line="600" w:lineRule="exact"/>
        <w:jc w:val="both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</w:p>
    <w:p>
      <w:pPr>
        <w:spacing w:after="120" w:afterLines="50" w:line="600" w:lineRule="exact"/>
        <w:jc w:val="both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</w:t>
      </w:r>
    </w:p>
    <w:p>
      <w:pPr>
        <w:spacing w:after="120" w:afterLines="50" w:line="600" w:lineRule="exact"/>
        <w:ind w:firstLine="1080" w:firstLineChars="300"/>
        <w:jc w:val="both"/>
        <w:rPr>
          <w:rFonts w:hint="eastAsia" w:ascii="方正小标宋简体" w:hAnsi="方正小标宋简体" w:eastAsia="方正小标宋简体" w:cs="方正小标宋简体"/>
          <w:sz w:val="2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年度部门整体支出绩效评价基础数据表</w:t>
      </w:r>
    </w:p>
    <w:tbl>
      <w:tblPr>
        <w:tblStyle w:val="4"/>
        <w:tblW w:w="96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189"/>
        <w:gridCol w:w="849"/>
        <w:gridCol w:w="1129"/>
        <w:gridCol w:w="1111"/>
        <w:gridCol w:w="1081"/>
        <w:gridCol w:w="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财政供养人员情况（人）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编制数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年实际在职人数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38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79%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经费控制情况（万元）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年决算数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年预算数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highlight w:val="none"/>
              </w:rPr>
              <w:t>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三公经费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1、公务用车购置和维护经费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其中：公车购置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      公车运行维护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2、出国经费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3、公务接待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项目支出：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120.26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101.6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101.6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1、业务工作经费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2、运行维护经费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　　3、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水利建设冬春维护经费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52.65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400" w:firstLineChars="200"/>
              <w:jc w:val="both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4、水利救灾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67.61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54.71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54.71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400" w:firstLineChars="200"/>
              <w:jc w:val="both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5、水毁项目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31.89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31.89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  <w:t>市级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专项资金（一个专项一行）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公用经费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90.62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85.22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85.22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其中：办公经费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FF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1.36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FF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   水费、电费、差旅费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FF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0.04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FF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          会议费、培训费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FF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政府采购金额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——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93.22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93.22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 xml:space="preserve">部门基本支出预算调整 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——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836.01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836.01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楼堂馆所控制情况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（202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年完工项目）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批复规模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（㎡）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实际规模（㎡）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规模控制率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预算投资（万元）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实际投资（万元）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  <w:highlight w:val="none"/>
              </w:rPr>
              <w:t>投资概算控制率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33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厉行节约保障措施</w:t>
            </w:r>
          </w:p>
        </w:tc>
        <w:tc>
          <w:tcPr>
            <w:tcW w:w="6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深入贯彻落实中央八项规定及其实施细则特神，严格控制“三公”经费开支，严禁超范围、超标准开支，践行精细化管理理念，加强绩效化管理，推进绩效评价结果与预算挂钩，严防资金低效使用，确保财力有效转化为保障力。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　</w:t>
            </w:r>
          </w:p>
        </w:tc>
      </w:tr>
    </w:tbl>
    <w:p>
      <w:pPr>
        <w:widowControl/>
        <w:spacing w:afterLines="0" w:line="400" w:lineRule="exact"/>
        <w:jc w:val="left"/>
        <w:rPr>
          <w:rFonts w:hint="default" w:ascii="Times New Roman" w:hAnsi="Times New Roman" w:eastAsia="仿宋_GB2312" w:cs="Times New Roman"/>
          <w:sz w:val="22"/>
          <w:highlight w:val="none"/>
        </w:rPr>
      </w:pPr>
      <w:r>
        <w:rPr>
          <w:rFonts w:hint="default" w:ascii="Times New Roman" w:hAnsi="Times New Roman" w:eastAsia="仿宋_GB2312" w:cs="Times New Roman"/>
          <w:sz w:val="22"/>
          <w:highlight w:val="none"/>
        </w:rPr>
        <w:t>说明：“项目支出”需要填报基本支出以外的所有项目支出情况，“公用经费”填报基本支出中的一般商品和服务支出。</w:t>
      </w:r>
    </w:p>
    <w:p>
      <w:pPr>
        <w:widowControl/>
        <w:spacing w:after="0" w:afterLines="0" w:line="400" w:lineRule="exact"/>
        <w:ind w:left="220" w:hanging="220" w:hangingChars="100"/>
        <w:jc w:val="left"/>
        <w:rPr>
          <w:rFonts w:hint="eastAsia" w:ascii="Times New Roman" w:hAnsi="Times New Roman" w:eastAsia="仿宋_GB2312" w:cs="Times New Roman"/>
          <w:sz w:val="2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2"/>
          <w:highlight w:val="none"/>
        </w:rPr>
        <w:t>填表人</w:t>
      </w:r>
      <w:r>
        <w:rPr>
          <w:rFonts w:hint="eastAsia" w:ascii="Times New Roman" w:hAnsi="Times New Roman" w:eastAsia="仿宋_GB2312" w:cs="Times New Roman"/>
          <w:sz w:val="2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22"/>
          <w:highlight w:val="none"/>
        </w:rPr>
        <w:t>填报日期：</w:t>
      </w:r>
      <w:r>
        <w:rPr>
          <w:rFonts w:hint="eastAsia" w:ascii="Times New Roman" w:hAnsi="Times New Roman" w:eastAsia="仿宋_GB2312" w:cs="Times New Roman"/>
          <w:sz w:val="22"/>
          <w:highlight w:val="none"/>
          <w:lang w:val="en-US" w:eastAsia="zh-CN"/>
        </w:rPr>
        <w:t>2024.6.19</w:t>
      </w:r>
      <w:r>
        <w:rPr>
          <w:rFonts w:hint="default" w:ascii="Times New Roman" w:hAnsi="Times New Roman" w:eastAsia="仿宋_GB2312" w:cs="Times New Roman"/>
          <w:sz w:val="22"/>
          <w:highlight w:val="none"/>
        </w:rPr>
        <w:t xml:space="preserve"> 联系电话：单位负责人签字：</w:t>
      </w:r>
    </w:p>
    <w:p>
      <w:pPr>
        <w:widowControl/>
        <w:spacing w:after="0" w:afterLines="0" w:line="400" w:lineRule="exact"/>
        <w:ind w:left="220" w:hanging="320" w:hangingChars="100"/>
        <w:jc w:val="left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</w:t>
      </w:r>
    </w:p>
    <w:p>
      <w:pPr>
        <w:widowControl/>
        <w:spacing w:after="120" w:afterLines="5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年度部门整体支出绩效自评表</w:t>
      </w:r>
    </w:p>
    <w:tbl>
      <w:tblPr>
        <w:tblStyle w:val="4"/>
        <w:tblW w:w="100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34"/>
        <w:gridCol w:w="1270"/>
        <w:gridCol w:w="1311"/>
        <w:gridCol w:w="1269"/>
        <w:gridCol w:w="716"/>
        <w:gridCol w:w="873"/>
        <w:gridCol w:w="14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级预算部门名称</w:t>
            </w:r>
          </w:p>
        </w:tc>
        <w:tc>
          <w:tcPr>
            <w:tcW w:w="89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岳阳市君山区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钱粮湖电排总站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年度预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算申请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（万元）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年初预算数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全年预算数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全年执行数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执行率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年度资金总额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721.88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937.61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937.61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按收入性质分：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按支出性质分：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 xml:space="preserve">  其中：  一般公共预算：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804.18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其中：基本支出：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836.01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800" w:firstLineChars="400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政府性基金拨款：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600" w:firstLineChars="300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项目支出：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101.6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纳入专户管理的非税收入拨款：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1400" w:firstLineChars="700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其他资金：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133.43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年度总体目标</w:t>
            </w:r>
          </w:p>
        </w:tc>
        <w:tc>
          <w:tcPr>
            <w:tcW w:w="4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预期目标</w:t>
            </w:r>
          </w:p>
        </w:tc>
        <w:tc>
          <w:tcPr>
            <w:tcW w:w="4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2023年，钱粮湖垸电排总站狠抓队伍建设，加强电排管理，全力搞好防汛排涝抗旱服务，确保垸内没有遭受洪涝灾害。。</w:t>
            </w:r>
          </w:p>
        </w:tc>
        <w:tc>
          <w:tcPr>
            <w:tcW w:w="4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2023年1月至12月电排运行情况，共开机运行14970小时，水量4187万立方米。其中排渍运行2869.5小时，水量1582.84万立方米，抗旱运行4724.5小时，水量2604.56万立方米。为加强抗旱今年电排在藕池河架设2台75Kw水泵，从藕池河抽水74台次，1776小时，抽水831万立方米，极大地减缓了良心堡镇的抗旱压力，收到良心堡镇表彰。重点对涵闸的日夜24小时不间断巡查，及时发现问题并及时上报防指，将隐患及时消除。合理有效调度排渍，保证了农业生产的丰收。一手抓机电设备维修保养，按时完成全站的预防性试验，确保全站电排的安全运行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一级指标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二级指标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三级指标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年度指标值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实际完成值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得分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产出指标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(50分)</w:t>
            </w:r>
          </w:p>
        </w:tc>
        <w:tc>
          <w:tcPr>
            <w:tcW w:w="103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数量指标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排涝抗旱完成排渍运行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≥1000小时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已完成排渍运行2869.5小时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机电设备维修保养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≥6处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已完成10处机电设备的大修工作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质量指标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按质完成水利服务工作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≥100%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保证安全生产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促进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严格按照“管生产，必须管安全”的原则，做到逢会必讲安全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党员参与率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＝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＝100%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时效指标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年度各项任务完成期限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2023年12月31日前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2023年12月20日前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成本指标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预算控制率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val="en-US" w:eastAsia="zh-CN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val="en-US" w:eastAsia="zh-CN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效益指标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（30分）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34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促进电排设施使用价值最大化，节约日开支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定性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有效推动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效果一般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社会效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对防御洪水应急抢险效果进行满意度调查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定性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有效提升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生态效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维护辖区内水利设施周边环境符合生态环境保护的要求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定性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有效加强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20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可持续影响指标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加快湖堤标准化建设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效果显著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效果显著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1034" w:type="dxa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服务对象满意度指标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群众满意度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无偏差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总分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98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</w:tbl>
    <w:p>
      <w:pPr>
        <w:widowControl/>
        <w:spacing w:after="0" w:afterLines="0" w:line="400" w:lineRule="exact"/>
        <w:ind w:left="220" w:hanging="220" w:hangingChars="100"/>
        <w:jc w:val="left"/>
        <w:rPr>
          <w:rFonts w:hint="eastAsia" w:ascii="Times New Roman" w:hAnsi="Times New Roman" w:eastAsia="仿宋_GB2312" w:cs="Times New Roman"/>
          <w:sz w:val="2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2"/>
          <w:highlight w:val="none"/>
        </w:rPr>
        <w:t>填表人</w:t>
      </w:r>
      <w:r>
        <w:rPr>
          <w:rFonts w:hint="eastAsia" w:ascii="Times New Roman" w:hAnsi="Times New Roman" w:eastAsia="仿宋_GB2312" w:cs="Times New Roman"/>
          <w:sz w:val="2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22"/>
          <w:highlight w:val="none"/>
        </w:rPr>
        <w:t>填报日期：</w:t>
      </w:r>
      <w:r>
        <w:rPr>
          <w:rFonts w:hint="eastAsia" w:ascii="Times New Roman" w:hAnsi="Times New Roman" w:eastAsia="仿宋_GB2312" w:cs="Times New Roman"/>
          <w:sz w:val="22"/>
          <w:highlight w:val="none"/>
          <w:lang w:val="en-US" w:eastAsia="zh-CN"/>
        </w:rPr>
        <w:t>2024.6.19</w:t>
      </w:r>
      <w:r>
        <w:rPr>
          <w:rFonts w:hint="default" w:ascii="Times New Roman" w:hAnsi="Times New Roman" w:eastAsia="仿宋_GB2312" w:cs="Times New Roman"/>
          <w:sz w:val="22"/>
          <w:highlight w:val="none"/>
        </w:rPr>
        <w:t xml:space="preserve"> 联系电话：单位负责人签字：</w:t>
      </w: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3</w:t>
      </w:r>
    </w:p>
    <w:p>
      <w:pPr>
        <w:spacing w:before="120" w:beforeLines="50" w:after="120" w:afterLines="50"/>
        <w:jc w:val="center"/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部门整体支出</w:t>
      </w: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highlight w:val="none"/>
        </w:rPr>
        <w:t>绩效自评工作考核评分表</w:t>
      </w:r>
    </w:p>
    <w:tbl>
      <w:tblPr>
        <w:tblStyle w:val="4"/>
        <w:tblW w:w="99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174"/>
        <w:gridCol w:w="5000"/>
        <w:gridCol w:w="3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一级指标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二级指标</w:t>
            </w:r>
          </w:p>
        </w:tc>
        <w:tc>
          <w:tcPr>
            <w:tcW w:w="5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评分标准</w:t>
            </w:r>
          </w:p>
        </w:tc>
        <w:tc>
          <w:tcPr>
            <w:tcW w:w="3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所需佐证材料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布置工作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10分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自评通知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（8分）</w:t>
            </w:r>
          </w:p>
        </w:tc>
        <w:tc>
          <w:tcPr>
            <w:tcW w:w="5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印发绩效自评通知的得2分，否则不得分。</w:t>
            </w:r>
          </w:p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按照本规程规定，绩效自评通知包括自评范围、自评主要依据、自评主要内容、自评程序和步骤、有关要求等内容，并附有本通知要求的附件的，得6分；否则缺1项扣1分，最多扣6分。</w:t>
            </w:r>
          </w:p>
        </w:tc>
        <w:tc>
          <w:tcPr>
            <w:tcW w:w="3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绩效自评通知盖章的电子版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工作小组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（2分）</w:t>
            </w:r>
          </w:p>
        </w:tc>
        <w:tc>
          <w:tcPr>
            <w:tcW w:w="5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成立绩效自评工作小组的得2分，否则不得分。</w:t>
            </w:r>
          </w:p>
        </w:tc>
        <w:tc>
          <w:tcPr>
            <w:tcW w:w="3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本部门、本单位预算绩效管理领导小组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0"/>
                <w:szCs w:val="20"/>
                <w:highlight w:val="none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绩效评价工作小组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有关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0"/>
                <w:szCs w:val="20"/>
                <w:highlight w:val="none"/>
              </w:rPr>
              <w:t>文件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盖章的电子版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实施评价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20分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单位自查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5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市级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预算部门本级和所属单位都要开展绩效自查，转移支付项目单位都要开展绩效自查，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县、区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级主管部门都要汇总本区域转移支付情况；以上各项每发现一个单位没有做相应工作的，扣1分，最多扣10分。</w:t>
            </w:r>
          </w:p>
        </w:tc>
        <w:tc>
          <w:tcPr>
            <w:tcW w:w="3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8"/>
              </w:num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转移支付项目单位名称和资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金情况清单</w:t>
            </w:r>
          </w:p>
          <w:p>
            <w:pPr>
              <w:numPr>
                <w:ilvl w:val="0"/>
                <w:numId w:val="8"/>
              </w:num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有转移支付资金的各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县区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主管部门汇总情况的盖章PDF版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提交报告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8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按时向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市财政局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报送报告的得10分；每推迟一个工作日报送报告的扣1分，最多扣10分。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自评报告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70分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完整性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（15分）</w:t>
            </w:r>
          </w:p>
        </w:tc>
        <w:tc>
          <w:tcPr>
            <w:tcW w:w="8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绩效自评报告正文部分内容齐全的，得8分；否则每少一个部分扣2分，最多扣8分。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绩效自评报告附件部分内容齐全的，得7分；否则每少一个部分扣2分，最多扣7分。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  <w:jc w:val="center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绩效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自评表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（20分）</w:t>
            </w:r>
          </w:p>
        </w:tc>
        <w:tc>
          <w:tcPr>
            <w:tcW w:w="8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1、部门整体支出和项目支出绩效指标反映产出、效益、服务对象满意度方面的指标和预算执行率的权重符合《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eastAsia="zh-CN"/>
              </w:rPr>
              <w:t>岳阳市市级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预算部门绩效自评操作规程》要求的，得5分，否则按比例扣除相应的分数。</w:t>
            </w:r>
          </w:p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部门整体支出和项目支出绩效指标全部细化到三级指标的，得5分；部分细化的，酌情扣分；没有细化的，不得分。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部门整体支出和项目支出三级绩效指标内涵明确、具体、可衡量的得5分；突出核心指标，精简实用的得3分；指标与部门整体支出和项目支出密切相关，全面反映产出和效益的得2分；否则，每项酌情扣分，最多扣10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反映问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题情况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（20分）</w:t>
            </w:r>
          </w:p>
        </w:tc>
        <w:tc>
          <w:tcPr>
            <w:tcW w:w="8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从预算和预算绩效管理，部门履职效能，资金分配、使用和管理，资产和财务管理，政府采购等方面归纳问题、分析原因全面的，得20分；反映问题、分析原因较全面的，得16—18分；反映问题、分析原因不全面的，得13—15分；问题未归纳且过于简单的，得10—12分；只提出资金不足问题的不得分；其他情况酌情扣分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建议情况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（15分）</w:t>
            </w:r>
          </w:p>
        </w:tc>
        <w:tc>
          <w:tcPr>
            <w:tcW w:w="8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建议与问题对应且全面的得15分，建议比较全面的得12—14分，建议不全面的得9—11分，建议过于简单的得6—8分，只提出加大资金投入建议的不得分；其他情况酌情扣分。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100分</w:t>
            </w:r>
          </w:p>
        </w:tc>
        <w:tc>
          <w:tcPr>
            <w:tcW w:w="8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highlight w:val="none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highlight w:val="none"/>
                <w:lang w:val="en-US" w:eastAsia="zh-CN"/>
              </w:rPr>
              <w:t>98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27DE7C"/>
    <w:multiLevelType w:val="singleLevel"/>
    <w:tmpl w:val="A427DE7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A81C459"/>
    <w:multiLevelType w:val="singleLevel"/>
    <w:tmpl w:val="DA81C459"/>
    <w:lvl w:ilvl="0" w:tentative="0">
      <w:start w:val="2"/>
      <w:numFmt w:val="chineseCounting"/>
      <w:suff w:val="nothing"/>
      <w:lvlText w:val="（%1）"/>
      <w:lvlJc w:val="left"/>
      <w:rPr>
        <w:rFonts w:hint="eastAsia" w:ascii="楷体" w:hAnsi="楷体" w:eastAsia="楷体" w:cs="楷体"/>
        <w:sz w:val="32"/>
        <w:szCs w:val="32"/>
      </w:rPr>
    </w:lvl>
  </w:abstractNum>
  <w:abstractNum w:abstractNumId="2">
    <w:nsid w:val="15E99B75"/>
    <w:multiLevelType w:val="singleLevel"/>
    <w:tmpl w:val="15E99B7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1BCD131B"/>
    <w:multiLevelType w:val="singleLevel"/>
    <w:tmpl w:val="1BCD131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DD36296"/>
    <w:multiLevelType w:val="singleLevel"/>
    <w:tmpl w:val="1DD3629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9CC8B3D"/>
    <w:multiLevelType w:val="singleLevel"/>
    <w:tmpl w:val="59CC8B3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5DDF8822"/>
    <w:multiLevelType w:val="singleLevel"/>
    <w:tmpl w:val="5DDF8822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72666873"/>
    <w:multiLevelType w:val="singleLevel"/>
    <w:tmpl w:val="7266687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7"/>
  </w:num>
  <w:num w:numId="5">
    <w:abstractNumId w:val="2"/>
  </w:num>
  <w:num w:numId="6">
    <w:abstractNumId w:val="3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kMWNkYzJlZGVjZGEzMzg3NzRiMTEwMWMwZmVkMzMifQ=="/>
  </w:docVars>
  <w:rsids>
    <w:rsidRoot w:val="59886344"/>
    <w:rsid w:val="048349DB"/>
    <w:rsid w:val="0A467A21"/>
    <w:rsid w:val="0E710FB3"/>
    <w:rsid w:val="1356560D"/>
    <w:rsid w:val="1AD81A1B"/>
    <w:rsid w:val="1CB462C1"/>
    <w:rsid w:val="1D7872C6"/>
    <w:rsid w:val="1F38206B"/>
    <w:rsid w:val="21B5640B"/>
    <w:rsid w:val="22220C72"/>
    <w:rsid w:val="274176DD"/>
    <w:rsid w:val="28C606E7"/>
    <w:rsid w:val="2CB52ADF"/>
    <w:rsid w:val="2D7A1A9E"/>
    <w:rsid w:val="2E114AFB"/>
    <w:rsid w:val="36C93C0A"/>
    <w:rsid w:val="38031D03"/>
    <w:rsid w:val="3829506E"/>
    <w:rsid w:val="3A0164D6"/>
    <w:rsid w:val="3CAC7C7D"/>
    <w:rsid w:val="3CE26112"/>
    <w:rsid w:val="3DD57CCC"/>
    <w:rsid w:val="49C65963"/>
    <w:rsid w:val="4AD53127"/>
    <w:rsid w:val="4B5B6BCB"/>
    <w:rsid w:val="4C570325"/>
    <w:rsid w:val="52CE75CF"/>
    <w:rsid w:val="55004DFD"/>
    <w:rsid w:val="58670CF0"/>
    <w:rsid w:val="597B2CA5"/>
    <w:rsid w:val="59886344"/>
    <w:rsid w:val="5A5A0E47"/>
    <w:rsid w:val="5C5A0BD2"/>
    <w:rsid w:val="5CCD6BA5"/>
    <w:rsid w:val="5CF9234B"/>
    <w:rsid w:val="6516562F"/>
    <w:rsid w:val="6684666A"/>
    <w:rsid w:val="66954A48"/>
    <w:rsid w:val="66D77B48"/>
    <w:rsid w:val="68193552"/>
    <w:rsid w:val="6AD037C8"/>
    <w:rsid w:val="6C1A3368"/>
    <w:rsid w:val="702D7069"/>
    <w:rsid w:val="70C62A07"/>
    <w:rsid w:val="7A050594"/>
    <w:rsid w:val="7EDB71C9"/>
    <w:rsid w:val="DFEF8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宋体" w:cs="Times New Roman"/>
      <w:kern w:val="0"/>
      <w:sz w:val="28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  <w:style w:type="paragraph" w:styleId="7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8">
    <w:name w:val="Normal_0"/>
    <w:unhideWhenUsed/>
    <w:qFormat/>
    <w:uiPriority w:val="0"/>
    <w:pPr>
      <w:spacing w:before="120" w:beforeLines="0" w:after="240" w:afterLines="0"/>
      <w:jc w:val="both"/>
    </w:pPr>
    <w:rPr>
      <w:rFonts w:hint="default" w:ascii="Calibri" w:hAnsi="Calibri" w:eastAsia="宋体" w:cs="Times New Roman"/>
      <w:sz w:val="22"/>
      <w:szCs w:val="24"/>
      <w:lang w:val="en-US" w:eastAsia="en-US" w:bidi="ar-SA"/>
    </w:rPr>
  </w:style>
  <w:style w:type="paragraph" w:customStyle="1" w:styleId="9">
    <w:name w:val="Normal_1"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10">
    <w:name w:val="NormalCharacter"/>
    <w:autoRedefine/>
    <w:qFormat/>
    <w:uiPriority w:val="0"/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5663</Words>
  <Characters>6172</Characters>
  <Lines>0</Lines>
  <Paragraphs>0</Paragraphs>
  <TotalTime>11</TotalTime>
  <ScaleCrop>false</ScaleCrop>
  <LinksUpToDate>false</LinksUpToDate>
  <CharactersWithSpaces>6312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2024-03-18T08:36:00Z</dcterms:created>
  <dc:creator>Administrator</dc:creator>
  <cp:lastModifiedBy>Administrator</cp:lastModifiedBy>
  <dcterms:modified xsi:type="dcterms:W3CDTF">2024-06-27T04:35:42Z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73548D91E73D48E0933D510FAD669C1A_13</vt:lpwstr>
  </property>
</Properties>
</file>