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val="en-US" w:eastAsia="zh-CN"/>
        </w:rPr>
        <w:t>岳阳市君山区钱南垸水委会</w:t>
      </w: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单位整体支出绩效自评报告</w:t>
      </w:r>
    </w:p>
    <w:p>
      <w:pPr>
        <w:jc w:val="center"/>
        <w:rPr>
          <w:rFonts w:hint="default" w:ascii="Times New Roman" w:hAnsi="Times New Roman" w:eastAsia="方正小标宋_GBK" w:cs="Times New Roman"/>
          <w:b/>
          <w:sz w:val="52"/>
          <w:szCs w:val="5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both"/>
        <w:rPr>
          <w:rFonts w:hint="default" w:ascii="Times New Roman" w:hAnsi="Times New Roman" w:eastAsia="黑体" w:cs="Times New Roman"/>
          <w:sz w:val="32"/>
          <w:szCs w:val="32"/>
          <w:highlight w:val="none"/>
        </w:rPr>
      </w:pPr>
    </w:p>
    <w:p>
      <w:pPr>
        <w:spacing w:line="600" w:lineRule="exact"/>
        <w:ind w:firstLine="1920" w:firstLineChars="600"/>
        <w:jc w:val="both"/>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部门（单位）名称：</w:t>
      </w:r>
      <w:r>
        <w:rPr>
          <w:rFonts w:hint="default" w:ascii="Times New Roman" w:hAnsi="Times New Roman" w:eastAsia="仿宋_GB2312" w:cs="Times New Roman"/>
          <w:sz w:val="32"/>
          <w:szCs w:val="32"/>
          <w:highlight w:val="none"/>
          <w:u w:val="single"/>
        </w:rPr>
        <w:t>（盖章）</w:t>
      </w:r>
    </w:p>
    <w:p>
      <w:pPr>
        <w:spacing w:line="600" w:lineRule="exact"/>
        <w:jc w:val="center"/>
        <w:rPr>
          <w:rFonts w:hint="default" w:ascii="Times New Roman" w:hAnsi="Times New Roman" w:eastAsia="楷体_GB2312" w:cs="Times New Roman"/>
          <w:sz w:val="32"/>
          <w:szCs w:val="32"/>
          <w:highlight w:val="none"/>
        </w:rPr>
      </w:pPr>
      <w:r>
        <w:rPr>
          <w:rFonts w:hint="default" w:ascii="Times New Roman" w:hAnsi="Times New Roman" w:eastAsia="楷体_GB2312" w:cs="Times New Roman"/>
          <w:sz w:val="32"/>
          <w:szCs w:val="32"/>
          <w:highlight w:val="none"/>
        </w:rPr>
        <w:t>年  月  日</w:t>
      </w:r>
    </w:p>
    <w:p>
      <w:pPr>
        <w:jc w:val="center"/>
        <w:rPr>
          <w:rFonts w:hint="eastAsia" w:ascii="方正小标宋简体" w:hAnsi="方正小标宋简体" w:eastAsia="方正小标宋简体" w:cs="方正小标宋简体"/>
          <w:sz w:val="44"/>
          <w:szCs w:val="44"/>
          <w:highlight w:val="none"/>
          <w:lang w:val="en-US" w:eastAsia="zh-CN"/>
        </w:rPr>
      </w:pPr>
      <w:r>
        <w:rPr>
          <w:rFonts w:hint="default" w:ascii="Times New Roman" w:hAnsi="Times New Roman" w:eastAsia="仿宋_GB2312" w:cs="Times New Roman"/>
          <w:sz w:val="32"/>
          <w:szCs w:val="32"/>
          <w:highlight w:val="none"/>
        </w:rPr>
        <w:br w:type="page"/>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val="en-US" w:eastAsia="zh-CN"/>
        </w:rPr>
        <w:t>岳阳市君山区钱南垸水委会</w:t>
      </w: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单位整体支出绩效自评报告</w:t>
      </w:r>
    </w:p>
    <w:p>
      <w:pPr>
        <w:jc w:val="center"/>
        <w:rPr>
          <w:rFonts w:hint="eastAsia" w:ascii="方正小标宋简体" w:hAnsi="方正小标宋简体" w:eastAsia="方正小标宋简体" w:cs="方正小标宋简体"/>
          <w:sz w:val="44"/>
          <w:szCs w:val="44"/>
          <w:highlight w:val="none"/>
        </w:rPr>
      </w:pPr>
    </w:p>
    <w:p>
      <w:pPr>
        <w:keepNext w:val="0"/>
        <w:keepLines w:val="0"/>
        <w:pageBreakBefore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sz w:val="32"/>
          <w:szCs w:val="32"/>
          <w:highlight w:val="none"/>
        </w:rPr>
      </w:pPr>
    </w:p>
    <w:p>
      <w:pPr>
        <w:keepNext w:val="0"/>
        <w:keepLines w:val="0"/>
        <w:pageBreakBefore w:val="0"/>
        <w:numPr>
          <w:ilvl w:val="0"/>
          <w:numId w:val="1"/>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部门（单位）基本情况</w:t>
      </w:r>
    </w:p>
    <w:p>
      <w:pPr>
        <w:numPr>
          <w:ilvl w:val="0"/>
          <w:numId w:val="2"/>
        </w:numPr>
        <w:spacing w:line="560" w:lineRule="exact"/>
        <w:ind w:firstLine="643" w:firstLineChars="200"/>
        <w:rPr>
          <w:rFonts w:hint="eastAsia" w:ascii="仿宋_GB2312" w:hAnsi="仿宋_GB2312" w:eastAsia="仿宋_GB2312" w:cs="仿宋_GB2312"/>
          <w:b/>
          <w:bCs w:val="0"/>
          <w:sz w:val="32"/>
          <w:szCs w:val="32"/>
          <w:lang w:eastAsia="zh-CN"/>
        </w:rPr>
      </w:pPr>
      <w:r>
        <w:rPr>
          <w:rFonts w:hint="eastAsia" w:ascii="仿宋_GB2312" w:hAnsi="仿宋_GB2312" w:eastAsia="仿宋_GB2312" w:cs="仿宋_GB2312"/>
          <w:b/>
          <w:bCs w:val="0"/>
          <w:sz w:val="32"/>
          <w:szCs w:val="32"/>
        </w:rPr>
        <w:t>、</w:t>
      </w:r>
      <w:r>
        <w:rPr>
          <w:rFonts w:hint="eastAsia" w:ascii="仿宋_GB2312" w:hAnsi="仿宋_GB2312" w:eastAsia="仿宋_GB2312" w:cs="仿宋_GB2312"/>
          <w:b/>
          <w:bCs w:val="0"/>
          <w:sz w:val="32"/>
          <w:szCs w:val="32"/>
          <w:lang w:eastAsia="zh-CN"/>
        </w:rPr>
        <w:t>单位职能</w:t>
      </w:r>
    </w:p>
    <w:p>
      <w:pPr>
        <w:pStyle w:val="8"/>
        <w:spacing w:before="0" w:beforeLines="0" w:after="0" w:afterLines="0"/>
        <w:ind w:firstLine="640" w:firstLineChars="200"/>
        <w:jc w:val="left"/>
        <w:rPr>
          <w:rFonts w:hint="eastAsia" w:ascii="仿宋" w:hAnsi="仿宋" w:eastAsia="仿宋"/>
          <w:color w:val="auto"/>
          <w:sz w:val="32"/>
          <w:szCs w:val="24"/>
          <w:highlight w:val="none"/>
          <w:lang w:eastAsia="zh-CN"/>
        </w:rPr>
      </w:pPr>
      <w:r>
        <w:rPr>
          <w:rFonts w:hint="eastAsia" w:ascii="仿宋" w:hAnsi="仿宋" w:eastAsia="仿宋"/>
          <w:color w:val="auto"/>
          <w:sz w:val="32"/>
          <w:szCs w:val="24"/>
          <w:highlight w:val="none"/>
          <w:lang w:val="en-US" w:eastAsia="zh-CN"/>
        </w:rPr>
        <w:t>1、</w:t>
      </w:r>
      <w:r>
        <w:rPr>
          <w:rFonts w:hint="eastAsia" w:ascii="仿宋" w:hAnsi="仿宋" w:eastAsia="仿宋"/>
          <w:color w:val="auto"/>
          <w:sz w:val="32"/>
          <w:szCs w:val="24"/>
          <w:highlight w:val="none"/>
          <w:lang w:eastAsia="zh-CN"/>
        </w:rPr>
        <w:t>负责区域内的堤防、运河、内湖渍堤及附属建筑物的建设管理和运作维护。</w:t>
      </w:r>
    </w:p>
    <w:p>
      <w:pPr>
        <w:pStyle w:val="8"/>
        <w:spacing w:before="0" w:beforeLines="0" w:after="0" w:afterLines="0"/>
        <w:ind w:firstLine="672" w:firstLineChars="200"/>
        <w:jc w:val="left"/>
        <w:rPr>
          <w:rFonts w:hint="eastAsia" w:ascii="仿宋" w:hAnsi="仿宋" w:eastAsia="仿宋"/>
          <w:color w:val="auto"/>
          <w:sz w:val="32"/>
          <w:szCs w:val="24"/>
          <w:highlight w:val="none"/>
          <w:lang w:eastAsia="zh-CN"/>
        </w:rPr>
      </w:pPr>
      <w:r>
        <w:rPr>
          <w:rFonts w:hint="eastAsia" w:ascii="仿宋" w:hAnsi="仿宋" w:eastAsia="仿宋"/>
          <w:color w:val="auto"/>
          <w:spacing w:val="8"/>
          <w:sz w:val="32"/>
          <w:szCs w:val="24"/>
          <w:highlight w:val="none"/>
          <w:lang w:val="en-US" w:eastAsia="zh-CN"/>
        </w:rPr>
        <w:t>2、</w:t>
      </w:r>
      <w:r>
        <w:rPr>
          <w:rFonts w:hint="eastAsia" w:ascii="仿宋" w:hAnsi="仿宋" w:eastAsia="仿宋"/>
          <w:color w:val="auto"/>
          <w:spacing w:val="8"/>
          <w:sz w:val="32"/>
          <w:szCs w:val="24"/>
          <w:highlight w:val="none"/>
          <w:lang w:eastAsia="zh-CN"/>
        </w:rPr>
        <w:t>负责钱南垸防汛物资器材及防汛仓库管理。</w:t>
      </w:r>
    </w:p>
    <w:p>
      <w:pPr>
        <w:pStyle w:val="8"/>
        <w:spacing w:before="0" w:beforeLines="0" w:after="0" w:afterLines="0"/>
        <w:ind w:firstLine="647" w:firstLineChars="209"/>
        <w:jc w:val="left"/>
        <w:rPr>
          <w:rFonts w:hint="eastAsia" w:ascii="仿宋" w:hAnsi="仿宋" w:eastAsia="仿宋"/>
          <w:color w:val="auto"/>
          <w:sz w:val="32"/>
          <w:szCs w:val="24"/>
          <w:highlight w:val="none"/>
          <w:lang w:eastAsia="zh-CN"/>
        </w:rPr>
      </w:pPr>
      <w:r>
        <w:rPr>
          <w:rFonts w:hint="eastAsia" w:ascii="仿宋" w:hAnsi="仿宋" w:eastAsia="仿宋"/>
          <w:color w:val="auto"/>
          <w:spacing w:val="-5"/>
          <w:sz w:val="32"/>
          <w:szCs w:val="24"/>
          <w:highlight w:val="none"/>
          <w:lang w:val="en-US" w:eastAsia="zh-CN"/>
        </w:rPr>
        <w:t>3、</w:t>
      </w:r>
      <w:r>
        <w:rPr>
          <w:rFonts w:hint="eastAsia" w:ascii="仿宋" w:hAnsi="仿宋" w:eastAsia="仿宋"/>
          <w:color w:val="auto"/>
          <w:spacing w:val="-5"/>
          <w:sz w:val="32"/>
          <w:szCs w:val="24"/>
          <w:highlight w:val="none"/>
          <w:lang w:eastAsia="zh-CN"/>
        </w:rPr>
        <w:t>协助垸内农田水利建设、规划、管理及其他水利服务工作。</w:t>
      </w:r>
    </w:p>
    <w:p>
      <w:pPr>
        <w:pStyle w:val="8"/>
        <w:spacing w:before="0" w:beforeLines="0" w:after="0" w:afterLines="0"/>
        <w:ind w:firstLine="640" w:firstLineChars="200"/>
        <w:jc w:val="left"/>
        <w:rPr>
          <w:rFonts w:hint="eastAsia" w:ascii="仿宋" w:hAnsi="仿宋" w:eastAsia="仿宋"/>
          <w:color w:val="auto"/>
          <w:sz w:val="32"/>
          <w:szCs w:val="24"/>
          <w:highlight w:val="none"/>
          <w:lang w:eastAsia="zh-CN"/>
        </w:rPr>
      </w:pPr>
      <w:r>
        <w:rPr>
          <w:rFonts w:hint="default" w:ascii="仿宋" w:hAnsi="仿宋" w:eastAsia="仿宋"/>
          <w:color w:val="auto"/>
          <w:sz w:val="32"/>
          <w:szCs w:val="24"/>
          <w:highlight w:val="none"/>
          <w:lang w:val="en-US" w:eastAsia="zh-CN"/>
        </w:rPr>
        <w:drawing>
          <wp:anchor distT="0" distB="0" distL="114300" distR="114300" simplePos="0" relativeHeight="251659264" behindDoc="1" locked="0" layoutInCell="1" allowOverlap="1">
            <wp:simplePos x="0" y="0"/>
            <wp:positionH relativeFrom="page">
              <wp:posOffset>-7937500</wp:posOffset>
            </wp:positionH>
            <wp:positionV relativeFrom="page">
              <wp:posOffset>482600</wp:posOffset>
            </wp:positionV>
            <wp:extent cx="7581900" cy="10706100"/>
            <wp:effectExtent l="0" t="0" r="0"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4"/>
                    <a:stretch>
                      <a:fillRect/>
                    </a:stretch>
                  </pic:blipFill>
                  <pic:spPr>
                    <a:xfrm>
                      <a:off x="0" y="0"/>
                      <a:ext cx="7581900" cy="10706100"/>
                    </a:xfrm>
                    <a:prstGeom prst="rect">
                      <a:avLst/>
                    </a:prstGeom>
                    <a:noFill/>
                    <a:ln>
                      <a:noFill/>
                    </a:ln>
                    <a:effectLst/>
                  </pic:spPr>
                </pic:pic>
              </a:graphicData>
            </a:graphic>
          </wp:anchor>
        </w:drawing>
      </w:r>
      <w:r>
        <w:rPr>
          <w:rFonts w:hint="eastAsia" w:ascii="仿宋" w:hAnsi="仿宋" w:eastAsia="仿宋"/>
          <w:color w:val="auto"/>
          <w:sz w:val="32"/>
          <w:szCs w:val="24"/>
          <w:highlight w:val="none"/>
          <w:lang w:val="en-US" w:eastAsia="zh-CN"/>
        </w:rPr>
        <w:t>4、</w:t>
      </w:r>
      <w:r>
        <w:rPr>
          <w:rFonts w:hint="eastAsia" w:ascii="仿宋" w:hAnsi="仿宋" w:eastAsia="仿宋"/>
          <w:color w:val="auto"/>
          <w:spacing w:val="-5"/>
          <w:sz w:val="32"/>
          <w:szCs w:val="24"/>
          <w:highlight w:val="none"/>
          <w:lang w:eastAsia="zh-CN"/>
        </w:rPr>
        <w:t>负责水利法规的宣传、教育、咨询及协助水行政执法工作。</w:t>
      </w:r>
    </w:p>
    <w:p>
      <w:pPr>
        <w:keepNext/>
        <w:keepLines/>
        <w:ind w:firstLine="640"/>
        <w:rPr>
          <w:rFonts w:eastAsia="楷体_GB2312"/>
          <w:b/>
          <w:color w:val="auto"/>
          <w:sz w:val="32"/>
          <w:szCs w:val="32"/>
        </w:rPr>
      </w:pPr>
      <w:r>
        <w:rPr>
          <w:rFonts w:hint="eastAsia" w:ascii="仿宋" w:hAnsi="仿宋" w:eastAsia="仿宋"/>
          <w:color w:val="auto"/>
          <w:sz w:val="32"/>
          <w:szCs w:val="24"/>
          <w:highlight w:val="none"/>
          <w:lang w:val="en-US" w:eastAsia="zh-CN"/>
        </w:rPr>
        <w:t>5、</w:t>
      </w:r>
      <w:r>
        <w:rPr>
          <w:rFonts w:hint="eastAsia" w:ascii="仿宋" w:hAnsi="仿宋" w:eastAsia="仿宋"/>
          <w:color w:val="auto"/>
          <w:sz w:val="32"/>
          <w:szCs w:val="24"/>
          <w:highlight w:val="none"/>
          <w:lang w:eastAsia="zh-CN"/>
        </w:rPr>
        <w:t>完成业务主管部门及乡镇交办的其他工作任务。</w:t>
      </w:r>
    </w:p>
    <w:p>
      <w:pPr>
        <w:spacing w:line="560" w:lineRule="exact"/>
        <w:ind w:firstLine="643" w:firstLineChars="200"/>
        <w:rPr>
          <w:rFonts w:hint="eastAsia" w:ascii="仿宋_GB2312" w:hAnsi="仿宋_GB2312" w:eastAsia="仿宋_GB2312" w:cs="仿宋_GB2312"/>
          <w:bCs/>
          <w:sz w:val="32"/>
          <w:szCs w:val="32"/>
        </w:rPr>
      </w:pPr>
      <w:r>
        <w:rPr>
          <w:rFonts w:hint="default" w:ascii="Times New Roman" w:hAnsi="Times New Roman" w:eastAsia="楷体_GB2312" w:cs="Times New Roman"/>
          <w:b/>
          <w:sz w:val="32"/>
          <w:szCs w:val="32"/>
          <w:highlight w:val="none"/>
        </w:rPr>
        <w:t>（</w:t>
      </w:r>
      <w:r>
        <w:rPr>
          <w:rFonts w:hint="eastAsia" w:ascii="Times New Roman" w:hAnsi="Times New Roman" w:eastAsia="楷体_GB2312" w:cs="Times New Roman"/>
          <w:b/>
          <w:sz w:val="32"/>
          <w:szCs w:val="32"/>
          <w:highlight w:val="none"/>
          <w:lang w:eastAsia="zh-CN"/>
        </w:rPr>
        <w:t>二</w:t>
      </w:r>
      <w:r>
        <w:rPr>
          <w:rFonts w:hint="default" w:ascii="Times New Roman" w:hAnsi="Times New Roman" w:eastAsia="楷体_GB2312" w:cs="Times New Roman"/>
          <w:b/>
          <w:sz w:val="32"/>
          <w:szCs w:val="32"/>
          <w:highlight w:val="none"/>
        </w:rPr>
        <w:t>）</w:t>
      </w:r>
      <w:r>
        <w:rPr>
          <w:rFonts w:hint="eastAsia" w:ascii="仿宋_GB2312" w:hAnsi="仿宋_GB2312" w:eastAsia="仿宋_GB2312" w:cs="仿宋_GB2312"/>
          <w:b/>
          <w:bCs w:val="0"/>
          <w:sz w:val="32"/>
          <w:szCs w:val="32"/>
        </w:rPr>
        <w:t>、机构设置</w:t>
      </w:r>
    </w:p>
    <w:p>
      <w:pPr>
        <w:keepNext w:val="0"/>
        <w:keepLines w:val="0"/>
        <w:pageBreakBefore w:val="0"/>
        <w:widowControl w:val="0"/>
        <w:kinsoku/>
        <w:wordWrap/>
        <w:overflowPunct w:val="0"/>
        <w:topLinePunct w:val="0"/>
        <w:autoSpaceDE/>
        <w:autoSpaceDN/>
        <w:bidi w:val="0"/>
        <w:adjustRightInd w:val="0"/>
        <w:snapToGrid/>
        <w:spacing w:line="560" w:lineRule="exact"/>
        <w:ind w:firstLine="640" w:firstLineChars="200"/>
        <w:jc w:val="both"/>
        <w:textAlignment w:val="auto"/>
        <w:rPr>
          <w:rFonts w:hint="eastAsia" w:eastAsia="仿宋_GB2312"/>
          <w:sz w:val="32"/>
          <w:szCs w:val="32"/>
          <w:lang w:val="zh-CN" w:eastAsia="zh-CN"/>
        </w:rPr>
      </w:pPr>
      <w:r>
        <w:rPr>
          <w:rFonts w:hint="eastAsia" w:eastAsia="仿宋_GB2312"/>
          <w:sz w:val="32"/>
          <w:szCs w:val="32"/>
          <w:lang w:val="en-US" w:eastAsia="zh-CN"/>
        </w:rPr>
        <w:t>君山区钱南垸水委会隶属于君山区水利局二级机构。内设股室5个，分别为堤防管理站、防汛器材管理站、工程组、办公室和财务室。</w:t>
      </w:r>
      <w:r>
        <w:rPr>
          <w:rFonts w:hint="eastAsia" w:ascii="仿宋_GB2312" w:hAnsi="仿宋_GB2312" w:eastAsia="仿宋_GB2312" w:cs="仿宋_GB2312"/>
          <w:b w:val="0"/>
          <w:bCs w:val="0"/>
          <w:sz w:val="32"/>
          <w:szCs w:val="32"/>
          <w:lang w:val="en-US" w:eastAsia="zh-CN"/>
        </w:rPr>
        <w:t>钱南垸水委会成立于2009年7月，纯公益性事业单位。编制核定人数22人，在编14人，空编8人，实际在职在编12人，临聘人员4人，食堂劳务外包1人。管辖堤防73.371公里，垸内垸外涵闸12座。</w:t>
      </w:r>
    </w:p>
    <w:p>
      <w:pPr>
        <w:keepNext w:val="0"/>
        <w:keepLines w:val="0"/>
        <w:pageBreakBefore w:val="0"/>
        <w:numPr>
          <w:ilvl w:val="0"/>
          <w:numId w:val="0"/>
        </w:numPr>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p>
    <w:p>
      <w:pPr>
        <w:pStyle w:val="7"/>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二、一般公共预算支出情况</w:t>
      </w:r>
    </w:p>
    <w:p>
      <w:pPr>
        <w:pStyle w:val="7"/>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（一）基本支出情况</w:t>
      </w:r>
    </w:p>
    <w:p>
      <w:pPr>
        <w:pStyle w:val="7"/>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Times New Roman"/>
          <w:b w:val="0"/>
          <w:bCs/>
          <w:sz w:val="32"/>
          <w:szCs w:val="32"/>
          <w:lang w:eastAsia="zh-CN"/>
        </w:rPr>
      </w:pPr>
      <w:r>
        <w:rPr>
          <w:rFonts w:hint="eastAsia" w:ascii="仿宋_GB2312" w:hAnsi="仿宋_GB2312" w:eastAsia="仿宋_GB2312" w:cs="仿宋_GB2312"/>
          <w:kern w:val="2"/>
          <w:sz w:val="32"/>
          <w:szCs w:val="32"/>
          <w:lang w:val="en-US" w:eastAsia="zh-CN" w:bidi="ar-SA"/>
        </w:rPr>
        <w:t>2023年本单位部门预算资金571.96万元（基本支出397.15万元，项目支出174.81万元），全年实际支出571.96万元，其中基本支出397.15万元，项目支出174.81万元，预算执行率100%。　　　　　　</w:t>
      </w:r>
    </w:p>
    <w:p>
      <w:pPr>
        <w:pStyle w:val="7"/>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单位2023年度全年预算571.96万元（工资福利支出230.68万元、商品和服务支出299.24万元、对个人和家庭的补助41.27万元、资本性支出0.78万元、），其中一般公共预算财政拨款349.91万元。本单位2023年度基本支出397.15万元，其中人员经费271.94万元，公用经费125.21万元。</w:t>
      </w:r>
    </w:p>
    <w:p>
      <w:pPr>
        <w:pStyle w:val="7"/>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eastAsia="仿宋_GB2312" w:cs="仿宋_GB2312"/>
          <w:kern w:val="0"/>
          <w:sz w:val="32"/>
          <w:szCs w:val="32"/>
          <w:lang w:val="en-US" w:eastAsia="zh-CN"/>
        </w:rPr>
      </w:pPr>
      <w:r>
        <w:rPr>
          <w:rFonts w:hint="eastAsia" w:ascii="仿宋_GB2312" w:hAnsi="仿宋_GB2312" w:eastAsia="仿宋_GB2312" w:cs="仿宋_GB2312"/>
          <w:kern w:val="2"/>
          <w:sz w:val="32"/>
          <w:szCs w:val="32"/>
          <w:lang w:val="en-US" w:eastAsia="zh-CN" w:bidi="ar-SA"/>
        </w:rPr>
        <w:t>基本支出主要</w:t>
      </w:r>
      <w:r>
        <w:rPr>
          <w:rFonts w:hint="eastAsia" w:eastAsia="仿宋_GB2312" w:cs="仿宋_GB2312"/>
          <w:kern w:val="0"/>
          <w:sz w:val="32"/>
          <w:szCs w:val="32"/>
          <w:lang w:eastAsia="zh-CN"/>
        </w:rPr>
        <w:t>是指为保障单位机构正常运转、完成日常工作任务而发生的各项支出，包括用于基本工资、</w:t>
      </w:r>
      <w:r>
        <w:rPr>
          <w:rFonts w:hint="eastAsia" w:eastAsia="仿宋_GB2312" w:cs="仿宋_GB2312"/>
          <w:kern w:val="0"/>
          <w:sz w:val="32"/>
          <w:szCs w:val="32"/>
          <w:lang w:val="en-US" w:eastAsia="zh-CN"/>
        </w:rPr>
        <w:t>绩效工资、</w:t>
      </w:r>
      <w:r>
        <w:rPr>
          <w:rFonts w:hint="eastAsia" w:eastAsia="仿宋_GB2312" w:cs="仿宋_GB2312"/>
          <w:kern w:val="0"/>
          <w:sz w:val="32"/>
          <w:szCs w:val="32"/>
          <w:lang w:eastAsia="zh-CN"/>
        </w:rPr>
        <w:t>津贴补贴、</w:t>
      </w:r>
      <w:r>
        <w:rPr>
          <w:rFonts w:hint="eastAsia" w:eastAsia="仿宋_GB2312" w:cs="仿宋_GB2312"/>
          <w:kern w:val="0"/>
          <w:sz w:val="32"/>
          <w:szCs w:val="32"/>
          <w:lang w:val="en-US" w:eastAsia="zh-CN"/>
        </w:rPr>
        <w:t>社会保障缴费</w:t>
      </w:r>
      <w:r>
        <w:rPr>
          <w:rFonts w:hint="eastAsia" w:eastAsia="仿宋_GB2312" w:cs="仿宋_GB2312"/>
          <w:kern w:val="0"/>
          <w:sz w:val="32"/>
          <w:szCs w:val="32"/>
          <w:lang w:eastAsia="zh-CN"/>
        </w:rPr>
        <w:t>等人员经费，办公费、印刷费、水电费、差旅费、</w:t>
      </w:r>
      <w:r>
        <w:rPr>
          <w:rFonts w:hint="eastAsia" w:eastAsia="仿宋_GB2312" w:cs="仿宋_GB2312"/>
          <w:kern w:val="0"/>
          <w:sz w:val="32"/>
          <w:szCs w:val="32"/>
          <w:lang w:val="en-US" w:eastAsia="zh-CN"/>
        </w:rPr>
        <w:t>公务接待费、维修（护）费</w:t>
      </w:r>
      <w:r>
        <w:rPr>
          <w:rFonts w:hint="eastAsia" w:eastAsia="仿宋_GB2312" w:cs="仿宋_GB2312"/>
          <w:kern w:val="0"/>
          <w:sz w:val="32"/>
          <w:szCs w:val="32"/>
          <w:lang w:eastAsia="zh-CN"/>
        </w:rPr>
        <w:t>等日常公用经费，</w:t>
      </w:r>
      <w:r>
        <w:rPr>
          <w:rFonts w:hint="eastAsia" w:eastAsia="仿宋_GB2312" w:cs="仿宋_GB2312"/>
          <w:kern w:val="0"/>
          <w:sz w:val="32"/>
          <w:szCs w:val="32"/>
          <w:lang w:val="en-US" w:eastAsia="zh-CN"/>
        </w:rPr>
        <w:t>以及离退休费用等其他对个人和家庭的补助支出。</w:t>
      </w:r>
    </w:p>
    <w:p>
      <w:pPr>
        <w:pStyle w:val="7"/>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（二）项目支出情况</w:t>
      </w:r>
    </w:p>
    <w:p>
      <w:pPr>
        <w:pStyle w:val="3"/>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22" w:lineRule="atLeast"/>
        <w:ind w:leftChars="200" w:right="0" w:rightChars="0" w:firstLine="320" w:firstLineChars="100"/>
        <w:jc w:val="both"/>
        <w:textAlignment w:val="center"/>
        <w:rPr>
          <w:rFonts w:hint="eastAsia"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2024年本单位项目支出174.81万元，主要是本单位为完成特定工作任务或事业发展目标而发生的支出，</w:t>
      </w:r>
      <w:r>
        <w:rPr>
          <w:rFonts w:hint="eastAsia" w:ascii="Times New Roman" w:hAnsi="Times New Roman" w:eastAsia="仿宋_GB2312" w:cs="Times New Roman"/>
          <w:sz w:val="32"/>
          <w:szCs w:val="32"/>
        </w:rPr>
        <w:t>用于</w:t>
      </w:r>
      <w:r>
        <w:rPr>
          <w:rFonts w:hint="eastAsia" w:ascii="Times New Roman" w:hAnsi="Times New Roman" w:eastAsia="仿宋_GB2312" w:cs="Times New Roman"/>
          <w:sz w:val="32"/>
          <w:szCs w:val="32"/>
          <w:lang w:val="en-US" w:eastAsia="zh-CN"/>
        </w:rPr>
        <w:t>日常工作提防扫障以及提防维护</w:t>
      </w:r>
      <w:r>
        <w:rPr>
          <w:rFonts w:hint="eastAsia" w:ascii="Times New Roman" w:hAnsi="Times New Roman" w:eastAsia="仿宋_GB2312" w:cs="Times New Roman"/>
          <w:sz w:val="32"/>
          <w:szCs w:val="32"/>
        </w:rPr>
        <w:t>等方面</w:t>
      </w:r>
      <w:r>
        <w:rPr>
          <w:rFonts w:hint="eastAsia" w:ascii="仿宋_GB2312" w:hAnsi="仿宋_GB2312" w:eastAsia="仿宋_GB2312" w:cs="仿宋_GB2312"/>
          <w:color w:val="000000"/>
          <w:kern w:val="2"/>
          <w:sz w:val="32"/>
          <w:szCs w:val="32"/>
          <w:shd w:val="clear" w:color="auto" w:fill="FFFFFF"/>
          <w:lang w:val="en-US" w:eastAsia="zh-CN" w:bidi="ar-SA"/>
        </w:rPr>
        <w:t>。</w:t>
      </w:r>
    </w:p>
    <w:p>
      <w:pPr>
        <w:pStyle w:val="7"/>
        <w:keepNext w:val="0"/>
        <w:keepLines w:val="0"/>
        <w:pageBreakBefore w:val="0"/>
        <w:widowControl/>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三、政府性基金预算支出情况</w:t>
      </w:r>
    </w:p>
    <w:p>
      <w:pPr>
        <w:pStyle w:val="7"/>
        <w:keepNext w:val="0"/>
        <w:keepLines w:val="0"/>
        <w:pageBreakBefore w:val="0"/>
        <w:widowControl/>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 xml:space="preserve"> 2023年本单位无此项支出。</w:t>
      </w:r>
    </w:p>
    <w:p>
      <w:pPr>
        <w:pStyle w:val="7"/>
        <w:keepNext w:val="0"/>
        <w:keepLines w:val="0"/>
        <w:pageBreakBefore w:val="0"/>
        <w:widowControl/>
        <w:numPr>
          <w:ilvl w:val="0"/>
          <w:numId w:val="3"/>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国有资本经营预算支出情况</w:t>
      </w:r>
    </w:p>
    <w:p>
      <w:pPr>
        <w:pStyle w:val="7"/>
        <w:keepNext w:val="0"/>
        <w:keepLines w:val="0"/>
        <w:pageBreakBefore w:val="0"/>
        <w:widowControl/>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 xml:space="preserve"> </w:t>
      </w:r>
      <w:r>
        <w:rPr>
          <w:rFonts w:hint="eastAsia" w:ascii="仿宋_GB2312" w:hAnsi="仿宋_GB2312" w:eastAsia="仿宋_GB2312" w:cs="仿宋_GB2312"/>
          <w:color w:val="000000"/>
          <w:kern w:val="2"/>
          <w:sz w:val="32"/>
          <w:szCs w:val="32"/>
          <w:shd w:val="clear" w:color="auto" w:fill="FFFFFF"/>
          <w:lang w:val="en-US" w:eastAsia="zh-CN" w:bidi="ar-SA"/>
        </w:rPr>
        <w:t>2023年本单位无此项支出。</w:t>
      </w:r>
    </w:p>
    <w:p>
      <w:pPr>
        <w:pStyle w:val="7"/>
        <w:keepNext w:val="0"/>
        <w:keepLines w:val="0"/>
        <w:pageBreakBefore w:val="0"/>
        <w:widowControl/>
        <w:numPr>
          <w:ilvl w:val="0"/>
          <w:numId w:val="3"/>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社会保险基金预算支出情况</w:t>
      </w:r>
    </w:p>
    <w:p>
      <w:pPr>
        <w:pStyle w:val="7"/>
        <w:keepNext w:val="0"/>
        <w:keepLines w:val="0"/>
        <w:pageBreakBefore w:val="0"/>
        <w:widowControl/>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仿宋_GB2312" w:hAnsi="仿宋_GB2312" w:eastAsia="仿宋_GB2312" w:cs="仿宋_GB2312"/>
          <w:color w:val="000000"/>
          <w:kern w:val="2"/>
          <w:sz w:val="32"/>
          <w:szCs w:val="32"/>
          <w:shd w:val="clear" w:color="auto" w:fill="FFFFFF"/>
          <w:lang w:val="en-US" w:eastAsia="zh-CN" w:bidi="ar-SA"/>
        </w:rPr>
      </w:pPr>
      <w:r>
        <w:rPr>
          <w:rFonts w:hint="eastAsia" w:ascii="仿宋_GB2312" w:hAnsi="仿宋_GB2312" w:eastAsia="仿宋_GB2312" w:cs="仿宋_GB2312"/>
          <w:color w:val="000000"/>
          <w:kern w:val="2"/>
          <w:sz w:val="32"/>
          <w:szCs w:val="32"/>
          <w:shd w:val="clear" w:color="auto" w:fill="FFFFFF"/>
          <w:lang w:val="en-US" w:eastAsia="zh-CN" w:bidi="ar-SA"/>
        </w:rPr>
        <w:t xml:space="preserve"> 2023年本单位无此项支出。</w:t>
      </w:r>
    </w:p>
    <w:p>
      <w:pPr>
        <w:pStyle w:val="7"/>
        <w:keepNext w:val="0"/>
        <w:keepLines w:val="0"/>
        <w:pageBreakBefore w:val="0"/>
        <w:widowControl/>
        <w:numPr>
          <w:ilvl w:val="0"/>
          <w:numId w:val="0"/>
        </w:numPr>
        <w:kinsoku/>
        <w:wordWrap/>
        <w:overflowPunct/>
        <w:topLinePunct w:val="0"/>
        <w:autoSpaceDE/>
        <w:autoSpaceDN/>
        <w:bidi w:val="0"/>
        <w:adjustRightInd/>
        <w:snapToGrid/>
        <w:spacing w:line="640" w:lineRule="exact"/>
        <w:ind w:leftChars="200"/>
        <w:jc w:val="both"/>
        <w:textAlignment w:val="auto"/>
        <w:rPr>
          <w:rFonts w:hint="default" w:ascii="Times New Roman" w:hAnsi="Times New Roman" w:eastAsia="黑体" w:cs="Times New Roman"/>
          <w:sz w:val="32"/>
          <w:szCs w:val="32"/>
          <w:highlight w:val="none"/>
        </w:rPr>
      </w:pP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六、部门整体支出绩效情况</w:t>
      </w: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lang w:val="en-US" w:eastAsia="zh-CN" w:bidi="ar-SA"/>
        </w:rPr>
      </w:pPr>
      <w:r>
        <w:rPr>
          <w:rFonts w:hint="eastAsia" w:ascii="Times New Roman" w:hAnsi="Times New Roman" w:eastAsia="黑体" w:cs="Times New Roman"/>
          <w:sz w:val="32"/>
          <w:szCs w:val="32"/>
          <w:lang w:eastAsia="zh-CN"/>
        </w:rPr>
        <w:t>　</w:t>
      </w:r>
      <w:r>
        <w:rPr>
          <w:rFonts w:hint="default" w:ascii="仿宋_GB2312" w:hAnsi="仿宋_GB2312" w:eastAsia="仿宋_GB2312" w:cs="仿宋_GB2312"/>
          <w:kern w:val="2"/>
          <w:sz w:val="32"/>
          <w:szCs w:val="32"/>
          <w:lang w:val="en-US" w:eastAsia="zh-CN" w:bidi="ar-SA"/>
        </w:rPr>
        <w:t>2023年，</w:t>
      </w:r>
      <w:r>
        <w:rPr>
          <w:rFonts w:hint="eastAsia" w:ascii="仿宋_GB2312" w:hAnsi="仿宋_GB2312" w:eastAsia="仿宋_GB2312" w:cs="仿宋_GB2312"/>
          <w:kern w:val="2"/>
          <w:sz w:val="32"/>
          <w:szCs w:val="32"/>
          <w:lang w:val="en-US" w:eastAsia="zh-CN" w:bidi="ar-SA"/>
        </w:rPr>
        <w:t>本单位</w:t>
      </w:r>
      <w:r>
        <w:rPr>
          <w:rFonts w:hint="default" w:ascii="仿宋_GB2312" w:hAnsi="仿宋_GB2312" w:eastAsia="仿宋_GB2312" w:cs="仿宋_GB2312"/>
          <w:kern w:val="2"/>
          <w:sz w:val="32"/>
          <w:szCs w:val="32"/>
          <w:lang w:val="en-US" w:eastAsia="zh-CN" w:bidi="ar-SA"/>
        </w:rPr>
        <w:t>积极履职，资金管理规范，</w:t>
      </w:r>
      <w:r>
        <w:rPr>
          <w:rFonts w:hint="eastAsia" w:ascii="仿宋_GB2312" w:hAnsi="仿宋_GB2312" w:eastAsia="仿宋_GB2312" w:cs="仿宋_GB2312"/>
          <w:kern w:val="2"/>
          <w:sz w:val="32"/>
          <w:szCs w:val="32"/>
          <w:lang w:val="en-US" w:eastAsia="zh-CN" w:bidi="ar-SA"/>
        </w:rPr>
        <w:t>资产</w:t>
      </w:r>
      <w:r>
        <w:rPr>
          <w:rFonts w:hint="default" w:ascii="仿宋_GB2312" w:hAnsi="仿宋_GB2312" w:eastAsia="仿宋_GB2312" w:cs="仿宋_GB2312"/>
          <w:kern w:val="2"/>
          <w:sz w:val="32"/>
          <w:szCs w:val="32"/>
          <w:lang w:val="en-US" w:eastAsia="zh-CN" w:bidi="ar-SA"/>
        </w:rPr>
        <w:t>管理到位，政策执行有力，较好地完成了年度工作目标，有效发挥了财政资金的使用效率。在人员经费支出上</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严格执行上级的各项制度;在</w:t>
      </w:r>
      <w:r>
        <w:rPr>
          <w:rFonts w:hint="eastAsia" w:ascii="仿宋_GB2312" w:hAnsi="仿宋_GB2312" w:eastAsia="仿宋_GB2312" w:cs="仿宋_GB2312"/>
          <w:kern w:val="2"/>
          <w:sz w:val="32"/>
          <w:szCs w:val="32"/>
          <w:lang w:val="en-US" w:eastAsia="zh-CN" w:bidi="ar-SA"/>
        </w:rPr>
        <w:t>公用</w:t>
      </w:r>
      <w:r>
        <w:rPr>
          <w:rFonts w:hint="default" w:ascii="仿宋_GB2312" w:hAnsi="仿宋_GB2312" w:eastAsia="仿宋_GB2312" w:cs="仿宋_GB2312"/>
          <w:kern w:val="2"/>
          <w:sz w:val="32"/>
          <w:szCs w:val="32"/>
          <w:lang w:val="en-US" w:eastAsia="zh-CN" w:bidi="ar-SA"/>
        </w:rPr>
        <w:t>经费使用上，</w:t>
      </w:r>
      <w:r>
        <w:rPr>
          <w:rFonts w:hint="eastAsia" w:ascii="仿宋_GB2312" w:hAnsi="仿宋_GB2312" w:eastAsia="仿宋_GB2312" w:cs="仿宋_GB2312"/>
          <w:kern w:val="2"/>
          <w:sz w:val="32"/>
          <w:szCs w:val="32"/>
          <w:lang w:val="en-US" w:eastAsia="zh-CN" w:bidi="ar-SA"/>
        </w:rPr>
        <w:t>严格执行预算</w:t>
      </w:r>
      <w:r>
        <w:rPr>
          <w:rFonts w:hint="default"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t>在</w:t>
      </w:r>
      <w:r>
        <w:rPr>
          <w:rFonts w:hint="default" w:ascii="仿宋_GB2312" w:hAnsi="仿宋_GB2312" w:eastAsia="仿宋_GB2312" w:cs="仿宋_GB2312"/>
          <w:kern w:val="2"/>
          <w:sz w:val="32"/>
          <w:szCs w:val="32"/>
          <w:lang w:val="en-US" w:eastAsia="zh-CN" w:bidi="ar-SA"/>
        </w:rPr>
        <w:t>“三公”经费</w:t>
      </w:r>
      <w:r>
        <w:rPr>
          <w:rFonts w:hint="eastAsia" w:ascii="仿宋_GB2312" w:hAnsi="仿宋_GB2312" w:eastAsia="仿宋_GB2312" w:cs="仿宋_GB2312"/>
          <w:kern w:val="2"/>
          <w:sz w:val="32"/>
          <w:szCs w:val="32"/>
          <w:lang w:val="en-US" w:eastAsia="zh-CN" w:bidi="ar-SA"/>
        </w:rPr>
        <w:t>开支上，</w:t>
      </w:r>
      <w:r>
        <w:rPr>
          <w:rFonts w:hint="default" w:ascii="仿宋_GB2312" w:hAnsi="仿宋_GB2312" w:eastAsia="仿宋_GB2312" w:cs="仿宋_GB2312"/>
          <w:kern w:val="2"/>
          <w:sz w:val="32"/>
          <w:szCs w:val="32"/>
          <w:lang w:val="en-US" w:eastAsia="zh-CN" w:bidi="ar-SA"/>
        </w:rPr>
        <w:t>厉行节约，从严控制</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 xml:space="preserve">根据《部门整体支出绩效自评表》自评得分 </w:t>
      </w:r>
      <w:r>
        <w:rPr>
          <w:rFonts w:hint="eastAsia" w:ascii="仿宋_GB2312" w:hAnsi="仿宋_GB2312" w:eastAsia="仿宋_GB2312" w:cs="仿宋_GB2312"/>
          <w:kern w:val="2"/>
          <w:sz w:val="32"/>
          <w:szCs w:val="32"/>
          <w:lang w:val="en-US" w:eastAsia="zh-CN" w:bidi="ar-SA"/>
        </w:rPr>
        <w:t>98</w:t>
      </w:r>
      <w:r>
        <w:rPr>
          <w:rFonts w:hint="default" w:ascii="仿宋_GB2312" w:hAnsi="仿宋_GB2312" w:eastAsia="仿宋_GB2312" w:cs="仿宋_GB2312"/>
          <w:kern w:val="2"/>
          <w:sz w:val="32"/>
          <w:szCs w:val="32"/>
          <w:lang w:val="en-US" w:eastAsia="zh-CN" w:bidi="ar-SA"/>
        </w:rPr>
        <w:t>分(详见附表2)，部门整体支出绩效为“优”</w:t>
      </w:r>
    </w:p>
    <w:p>
      <w:pPr>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rPr>
        <w:t>（一）2023年部门整体支出绩效目标设置及完成情况</w:t>
      </w:r>
    </w:p>
    <w:p>
      <w:pPr>
        <w:keepNext w:val="0"/>
        <w:keepLines w:val="0"/>
        <w:pageBreakBefore w:val="0"/>
        <w:widowControl w:val="0"/>
        <w:kinsoku/>
        <w:wordWrap/>
        <w:overflowPunct w:val="0"/>
        <w:topLinePunct w:val="0"/>
        <w:autoSpaceDE/>
        <w:autoSpaceDN/>
        <w:bidi w:val="0"/>
        <w:adjustRightInd w:val="0"/>
        <w:snapToGrid/>
        <w:spacing w:line="560" w:lineRule="exact"/>
        <w:ind w:firstLine="602" w:firstLineChars="200"/>
        <w:jc w:val="both"/>
        <w:textAlignment w:val="auto"/>
        <w:rPr>
          <w:rFonts w:hint="eastAsia"/>
          <w:sz w:val="30"/>
          <w:szCs w:val="30"/>
          <w:lang w:val="en-US" w:eastAsia="zh-CN"/>
        </w:rPr>
      </w:pPr>
      <w:r>
        <w:rPr>
          <w:rFonts w:hint="eastAsia"/>
          <w:b/>
          <w:bCs/>
          <w:sz w:val="30"/>
          <w:szCs w:val="30"/>
          <w:lang w:val="en-US" w:eastAsia="zh-CN"/>
        </w:rPr>
        <w:t>目标1：</w:t>
      </w:r>
      <w:r>
        <w:rPr>
          <w:rFonts w:hint="eastAsia"/>
          <w:sz w:val="30"/>
          <w:szCs w:val="30"/>
          <w:lang w:val="en-US" w:eastAsia="zh-CN"/>
        </w:rPr>
        <w:t>加强支部党建学习，提升党建工作形象</w:t>
      </w:r>
    </w:p>
    <w:p>
      <w:pPr>
        <w:keepNext w:val="0"/>
        <w:keepLines w:val="0"/>
        <w:pageBreakBefore w:val="0"/>
        <w:widowControl w:val="0"/>
        <w:kinsoku/>
        <w:wordWrap/>
        <w:overflowPunct w:val="0"/>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b w:val="0"/>
          <w:bCs w:val="0"/>
          <w:sz w:val="32"/>
          <w:szCs w:val="32"/>
          <w:lang w:val="en-US" w:eastAsia="zh-CN"/>
        </w:rPr>
      </w:pPr>
      <w:r>
        <w:rPr>
          <w:rFonts w:hint="eastAsia"/>
          <w:b/>
          <w:bCs/>
          <w:sz w:val="30"/>
          <w:szCs w:val="30"/>
          <w:lang w:val="en-US" w:eastAsia="zh-CN"/>
        </w:rPr>
        <w:t>完成情况：</w:t>
      </w:r>
      <w:r>
        <w:rPr>
          <w:rFonts w:hint="eastAsia" w:ascii="仿宋_GB2312" w:hAnsi="仿宋_GB2312" w:eastAsia="仿宋_GB2312" w:cs="仿宋_GB2312"/>
          <w:b w:val="0"/>
          <w:bCs w:val="0"/>
          <w:sz w:val="32"/>
          <w:szCs w:val="32"/>
          <w:lang w:val="en-US" w:eastAsia="zh-CN"/>
        </w:rPr>
        <w:t>支部严格按照每月下发的党建工作要点按时开展党建工作完成规定动作。严格落实“第一议题”制度，认真组织落实“三会一课”制度，狠抓党风廉政建设。上半年圆满地完成支部换届选举工作。全年召开支部会议12次，党员大会6次，上党课2堂，开展主题党日活动12 次，组织党员学习、观影，写心得体会，通过各种形式抓好主题教育。</w:t>
      </w:r>
    </w:p>
    <w:p>
      <w:pPr>
        <w:keepNext w:val="0"/>
        <w:keepLines w:val="0"/>
        <w:pageBreakBefore w:val="0"/>
        <w:widowControl w:val="0"/>
        <w:kinsoku/>
        <w:wordWrap/>
        <w:overflowPunct w:val="0"/>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b w:val="0"/>
          <w:bCs w:val="0"/>
          <w:sz w:val="32"/>
          <w:szCs w:val="32"/>
          <w:lang w:val="en-US" w:eastAsia="zh-CN"/>
        </w:rPr>
      </w:pPr>
      <w:r>
        <w:rPr>
          <w:rFonts w:hint="eastAsia"/>
          <w:b/>
          <w:bCs/>
          <w:sz w:val="30"/>
          <w:szCs w:val="30"/>
          <w:lang w:val="en-US" w:eastAsia="zh-CN"/>
        </w:rPr>
        <w:t>目标2：</w:t>
      </w:r>
      <w:r>
        <w:rPr>
          <w:rFonts w:hint="eastAsia" w:ascii="仿宋_GB2312" w:hAnsi="仿宋_GB2312" w:eastAsia="仿宋_GB2312" w:cs="仿宋_GB2312"/>
          <w:b w:val="0"/>
          <w:bCs w:val="0"/>
          <w:sz w:val="32"/>
          <w:szCs w:val="32"/>
          <w:lang w:val="en-US" w:eastAsia="zh-CN"/>
        </w:rPr>
        <w:t>加强内部管理，做好本职工作</w:t>
      </w:r>
    </w:p>
    <w:p>
      <w:pPr>
        <w:keepNext w:val="0"/>
        <w:keepLines w:val="0"/>
        <w:pageBreakBefore w:val="0"/>
        <w:widowControl w:val="0"/>
        <w:kinsoku/>
        <w:wordWrap/>
        <w:overflowPunct w:val="0"/>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b w:val="0"/>
          <w:bCs w:val="0"/>
          <w:sz w:val="32"/>
          <w:szCs w:val="32"/>
          <w:lang w:val="en-US" w:eastAsia="zh-CN"/>
        </w:rPr>
      </w:pPr>
      <w:r>
        <w:rPr>
          <w:rFonts w:hint="eastAsia"/>
          <w:b/>
          <w:bCs/>
          <w:sz w:val="30"/>
          <w:szCs w:val="30"/>
          <w:lang w:val="en-US" w:eastAsia="zh-CN"/>
        </w:rPr>
        <w:t>完成情况：</w:t>
      </w:r>
      <w:r>
        <w:rPr>
          <w:rFonts w:hint="eastAsia" w:ascii="仿宋_GB2312" w:hAnsi="仿宋_GB2312" w:eastAsia="仿宋_GB2312" w:cs="仿宋_GB2312"/>
          <w:b w:val="0"/>
          <w:bCs w:val="0"/>
          <w:sz w:val="32"/>
          <w:szCs w:val="32"/>
          <w:lang w:val="en-US" w:eastAsia="zh-CN"/>
        </w:rPr>
        <w:t>班子集体讨论通过《堤防工作制度》，并制订了《钱南垸水委会工作人员承诺书》，承诺做到包括工作、生活在内的七项内容，自觉接受社会的监督，签订后的承诺书在公示栏内进行了公示。对极个别人不遵守单位工作制度的工作人员开展谈心谈话。</w:t>
      </w:r>
    </w:p>
    <w:p>
      <w:pPr>
        <w:keepNext w:val="0"/>
        <w:keepLines w:val="0"/>
        <w:pageBreakBefore w:val="0"/>
        <w:widowControl w:val="0"/>
        <w:numPr>
          <w:ilvl w:val="0"/>
          <w:numId w:val="0"/>
        </w:numPr>
        <w:kinsoku/>
        <w:wordWrap/>
        <w:overflowPunct w:val="0"/>
        <w:topLinePunct w:val="0"/>
        <w:autoSpaceDE/>
        <w:autoSpaceDN/>
        <w:bidi w:val="0"/>
        <w:adjustRightInd w:val="0"/>
        <w:snapToGrid/>
        <w:spacing w:line="560" w:lineRule="exact"/>
        <w:ind w:leftChars="200"/>
        <w:jc w:val="both"/>
        <w:textAlignment w:val="auto"/>
        <w:rPr>
          <w:rFonts w:hint="eastAsia" w:ascii="仿宋_GB2312" w:hAnsi="仿宋_GB2312" w:eastAsia="仿宋_GB2312" w:cs="仿宋_GB2312"/>
          <w:b w:val="0"/>
          <w:bCs w:val="0"/>
          <w:sz w:val="32"/>
          <w:szCs w:val="32"/>
          <w:lang w:val="en-US" w:eastAsia="zh-CN"/>
        </w:rPr>
      </w:pPr>
      <w:r>
        <w:rPr>
          <w:rFonts w:hint="eastAsia"/>
          <w:b/>
          <w:bCs/>
          <w:sz w:val="30"/>
          <w:szCs w:val="30"/>
          <w:lang w:val="en-US" w:eastAsia="zh-CN"/>
        </w:rPr>
        <w:t>目标3：</w:t>
      </w:r>
      <w:r>
        <w:rPr>
          <w:rFonts w:hint="eastAsia" w:ascii="仿宋_GB2312" w:hAnsi="仿宋_GB2312" w:eastAsia="仿宋_GB2312" w:cs="仿宋_GB2312"/>
          <w:b w:val="0"/>
          <w:bCs w:val="0"/>
          <w:sz w:val="32"/>
          <w:szCs w:val="32"/>
          <w:lang w:val="en-US" w:eastAsia="zh-CN"/>
        </w:rPr>
        <w:t>重点工作常抓不懈，确保安全渡汛</w:t>
      </w:r>
    </w:p>
    <w:p>
      <w:pPr>
        <w:keepNext w:val="0"/>
        <w:keepLines w:val="0"/>
        <w:pageBreakBefore w:val="0"/>
        <w:widowControl w:val="0"/>
        <w:numPr>
          <w:ilvl w:val="0"/>
          <w:numId w:val="0"/>
        </w:numPr>
        <w:kinsoku/>
        <w:wordWrap/>
        <w:overflowPunct w:val="0"/>
        <w:topLinePunct w:val="0"/>
        <w:autoSpaceDE/>
        <w:autoSpaceDN/>
        <w:bidi w:val="0"/>
        <w:adjustRightInd w:val="0"/>
        <w:snapToGrid/>
        <w:spacing w:line="560" w:lineRule="exact"/>
        <w:ind w:firstLine="602" w:firstLineChars="200"/>
        <w:jc w:val="both"/>
        <w:textAlignment w:val="auto"/>
        <w:rPr>
          <w:rFonts w:hint="eastAsia" w:ascii="仿宋_GB2312" w:hAnsi="仿宋_GB2312" w:eastAsia="仿宋_GB2312" w:cs="仿宋_GB2312"/>
          <w:color w:val="262626" w:themeColor="text1" w:themeTint="D9"/>
          <w:sz w:val="32"/>
          <w:szCs w:val="32"/>
          <w:lang w:val="en-US" w:eastAsia="zh-CN"/>
          <w14:textFill>
            <w14:solidFill>
              <w14:schemeClr w14:val="tx1">
                <w14:lumMod w14:val="85000"/>
                <w14:lumOff w14:val="15000"/>
              </w14:schemeClr>
            </w14:solidFill>
          </w14:textFill>
        </w:rPr>
      </w:pPr>
      <w:r>
        <w:rPr>
          <w:rFonts w:hint="eastAsia"/>
          <w:b/>
          <w:bCs/>
          <w:sz w:val="30"/>
          <w:szCs w:val="30"/>
          <w:lang w:val="en-US" w:eastAsia="zh-CN"/>
        </w:rPr>
        <w:t>完成情况：</w:t>
      </w:r>
      <w:r>
        <w:rPr>
          <w:rFonts w:hint="eastAsia" w:ascii="仿宋_GB2312" w:hAnsi="仿宋_GB2312" w:eastAsia="仿宋_GB2312" w:cs="仿宋_GB2312"/>
          <w:color w:val="262626" w:themeColor="text1" w:themeTint="D9"/>
          <w:sz w:val="32"/>
          <w:szCs w:val="32"/>
          <w:lang w:val="en-US" w:eastAsia="zh-CN"/>
          <w14:textFill>
            <w14:solidFill>
              <w14:schemeClr w14:val="tx1">
                <w14:lumMod w14:val="85000"/>
                <w14:lumOff w14:val="15000"/>
              </w14:schemeClr>
            </w14:solidFill>
          </w14:textFill>
        </w:rPr>
        <w:t>汛前组织人员对各堤防特别是水闸等重点部位实施勤观测。对在巡查过程中所发现的问题及时进行整改。日常巡查，各堤防第一责任人每天对自己所负责的堤段进行巡查，对防汛器材仓库做好防火防盗工作。对在运行过程中的水闸小故障及时进行排查维护，尽最大限度延长设备的使用寿命，全年蔡家港闸安全运行达60天。汛后的排查，针对一年来涵闸的运行情况，听取运行人员的意见，组织技术人员对各涵闸的情况实施回头看，合理安排冬季维修计划。</w:t>
      </w:r>
      <w:r>
        <w:rPr>
          <w:rFonts w:hint="eastAsia" w:ascii="仿宋_GB2312" w:hAnsi="仿宋_GB2312" w:eastAsia="仿宋_GB2312" w:cs="仿宋_GB2312"/>
          <w:color w:val="262626" w:themeColor="text1" w:themeTint="D9"/>
          <w:sz w:val="32"/>
          <w:szCs w:val="32"/>
          <w:lang w:eastAsia="zh-CN"/>
          <w14:textFill>
            <w14:solidFill>
              <w14:schemeClr w14:val="tx1">
                <w14:lumMod w14:val="85000"/>
                <w14:lumOff w14:val="15000"/>
              </w14:schemeClr>
            </w14:solidFill>
          </w14:textFill>
        </w:rPr>
        <w:t>针对拟定的扫障除杂计划，召开班子会议商议具体事项，从每年的</w:t>
      </w:r>
      <w:r>
        <w:rPr>
          <w:rFonts w:hint="eastAsia" w:ascii="仿宋_GB2312" w:hAnsi="仿宋_GB2312" w:eastAsia="仿宋_GB2312" w:cs="仿宋_GB2312"/>
          <w:color w:val="262626" w:themeColor="text1" w:themeTint="D9"/>
          <w:sz w:val="32"/>
          <w:szCs w:val="32"/>
          <w:lang w:val="en-US" w:eastAsia="zh-CN"/>
          <w14:textFill>
            <w14:solidFill>
              <w14:schemeClr w14:val="tx1">
                <w14:lumMod w14:val="85000"/>
                <w14:lumOff w14:val="15000"/>
              </w14:schemeClr>
            </w14:solidFill>
          </w14:textFill>
        </w:rPr>
        <w:t>3月初至10月底开始堤防扫障除杂工作，全体工作人员发挥不怕脏、不怕累的精神，完成了钱南垸所有堤防的扫障除杂，抓住冬季枯水季的有利时机对各涵闸实施了维修保养、并对涵闸的水下部分检查、金属构件刷漆、启闭机的润滑油更换补充、闸门更换止水橡皮等。目前已全部完成管辖区域22台涵闸启闭机的维修保养工作。</w:t>
      </w:r>
    </w:p>
    <w:p>
      <w:pPr>
        <w:keepNext w:val="0"/>
        <w:keepLines w:val="0"/>
        <w:pageBreakBefore w:val="0"/>
        <w:widowControl w:val="0"/>
        <w:numPr>
          <w:ilvl w:val="0"/>
          <w:numId w:val="0"/>
        </w:numPr>
        <w:kinsoku/>
        <w:wordWrap/>
        <w:overflowPunct w:val="0"/>
        <w:topLinePunct w:val="0"/>
        <w:autoSpaceDE/>
        <w:autoSpaceDN/>
        <w:bidi w:val="0"/>
        <w:adjustRightInd w:val="0"/>
        <w:snapToGrid/>
        <w:spacing w:line="560" w:lineRule="exact"/>
        <w:ind w:firstLine="640" w:firstLineChars="200"/>
        <w:jc w:val="both"/>
        <w:textAlignment w:val="auto"/>
        <w:rPr>
          <w:rFonts w:hint="eastAsia" w:ascii="仿宋_GB2312" w:hAnsi="仿宋_GB2312" w:eastAsia="仿宋_GB2312" w:cs="仿宋_GB2312"/>
          <w:color w:val="262626" w:themeColor="text1" w:themeTint="D9"/>
          <w:sz w:val="32"/>
          <w:szCs w:val="32"/>
          <w:lang w:val="en-US" w:eastAsia="zh-CN"/>
          <w14:textFill>
            <w14:solidFill>
              <w14:schemeClr w14:val="tx1">
                <w14:lumMod w14:val="85000"/>
                <w14:lumOff w14:val="15000"/>
              </w14:schemeClr>
            </w14:solidFill>
          </w14:textFill>
        </w:rPr>
      </w:pPr>
    </w:p>
    <w:p>
      <w:pPr>
        <w:keepNext w:val="0"/>
        <w:keepLines w:val="0"/>
        <w:pageBreakBefore w:val="0"/>
        <w:widowControl w:val="0"/>
        <w:numPr>
          <w:ilvl w:val="0"/>
          <w:numId w:val="0"/>
        </w:numPr>
        <w:kinsoku/>
        <w:wordWrap/>
        <w:overflowPunct w:val="0"/>
        <w:topLinePunct w:val="0"/>
        <w:autoSpaceDE/>
        <w:autoSpaceDN/>
        <w:bidi w:val="0"/>
        <w:adjustRightInd w:val="0"/>
        <w:snapToGrid/>
        <w:spacing w:line="560" w:lineRule="exact"/>
        <w:ind w:leftChars="200"/>
        <w:jc w:val="both"/>
        <w:textAlignment w:val="auto"/>
        <w:rPr>
          <w:rFonts w:hint="eastAsia" w:ascii="楷体_GB2312" w:hAnsi="楷体_GB2312" w:eastAsia="楷体_GB2312" w:cs="楷体_GB2312"/>
          <w:b/>
          <w:bCs/>
          <w:color w:val="262626" w:themeColor="text1" w:themeTint="D9"/>
          <w:sz w:val="32"/>
          <w:szCs w:val="32"/>
          <w:lang w:eastAsia="zh-CN"/>
          <w14:textFill>
            <w14:solidFill>
              <w14:schemeClr w14:val="tx1">
                <w14:lumMod w14:val="85000"/>
                <w14:lumOff w14:val="15000"/>
              </w14:schemeClr>
            </w14:solidFill>
          </w14:textFill>
        </w:rPr>
      </w:pPr>
    </w:p>
    <w:p>
      <w:pPr>
        <w:ind w:firstLine="600" w:firstLineChars="200"/>
        <w:rPr>
          <w:sz w:val="30"/>
          <w:szCs w:val="30"/>
        </w:rPr>
      </w:pPr>
    </w:p>
    <w:p>
      <w:pPr>
        <w:ind w:firstLine="643" w:firstLineChars="200"/>
        <w:rPr>
          <w:rFonts w:ascii="微软雅黑" w:hAnsi="微软雅黑" w:eastAsia="微软雅黑" w:cs="微软雅黑"/>
          <w:i w:val="0"/>
          <w:iCs w:val="0"/>
          <w:caps w:val="0"/>
          <w:color w:val="333333"/>
          <w:spacing w:val="0"/>
          <w:sz w:val="24"/>
          <w:szCs w:val="24"/>
        </w:rPr>
      </w:pPr>
      <w:r>
        <w:rPr>
          <w:rFonts w:hint="eastAsia" w:ascii="楷体_GB2312" w:hAnsi="微软雅黑" w:eastAsia="楷体_GB2312" w:cs="楷体_GB2312"/>
          <w:b/>
          <w:bCs/>
          <w:i w:val="0"/>
          <w:iCs w:val="0"/>
          <w:caps w:val="0"/>
          <w:color w:val="000000"/>
          <w:spacing w:val="0"/>
          <w:kern w:val="0"/>
          <w:sz w:val="32"/>
          <w:szCs w:val="32"/>
          <w:shd w:val="clear" w:fill="FFFFFF"/>
          <w:lang w:val="en-US" w:eastAsia="zh-CN" w:bidi="ar"/>
        </w:rPr>
        <w:t>（二）</w:t>
      </w:r>
      <w:r>
        <w:rPr>
          <w:rFonts w:ascii="楷体_GB2312" w:hAnsi="微软雅黑" w:eastAsia="楷体_GB2312" w:cs="楷体_GB2312"/>
          <w:b/>
          <w:bCs/>
          <w:i w:val="0"/>
          <w:iCs w:val="0"/>
          <w:caps w:val="0"/>
          <w:color w:val="000000"/>
          <w:spacing w:val="0"/>
          <w:kern w:val="0"/>
          <w:sz w:val="32"/>
          <w:szCs w:val="32"/>
          <w:shd w:val="clear" w:fill="FFFFFF"/>
          <w:lang w:val="en-US" w:eastAsia="zh-CN" w:bidi="ar"/>
        </w:rPr>
        <w:t>单位资产管理和整体业务实施效果情况</w:t>
      </w:r>
    </w:p>
    <w:p>
      <w:pPr>
        <w:ind w:firstLine="600" w:firstLineChars="200"/>
        <w:rPr>
          <w:rFonts w:hint="eastAsia"/>
          <w:sz w:val="30"/>
          <w:szCs w:val="30"/>
          <w:lang w:val="en-US" w:eastAsia="zh-CN"/>
        </w:rPr>
      </w:pPr>
      <w:r>
        <w:rPr>
          <w:rFonts w:hint="default"/>
          <w:sz w:val="30"/>
          <w:szCs w:val="30"/>
          <w:lang w:val="en-US" w:eastAsia="zh-CN"/>
        </w:rPr>
        <w:t>本单位资产设有专</w:t>
      </w:r>
      <w:r>
        <w:rPr>
          <w:rFonts w:hint="eastAsia"/>
          <w:sz w:val="30"/>
          <w:szCs w:val="30"/>
          <w:lang w:val="en-US" w:eastAsia="zh-CN"/>
        </w:rPr>
        <w:t>门人员将单位所有资产全部录入固定资产信息系统</w:t>
      </w:r>
      <w:r>
        <w:rPr>
          <w:rFonts w:hint="default"/>
          <w:sz w:val="30"/>
          <w:szCs w:val="30"/>
          <w:lang w:val="en-US" w:eastAsia="zh-CN"/>
        </w:rPr>
        <w:t>,</w:t>
      </w:r>
      <w:r>
        <w:rPr>
          <w:rFonts w:hint="eastAsia"/>
          <w:sz w:val="30"/>
          <w:szCs w:val="30"/>
          <w:lang w:val="en-US" w:eastAsia="zh-CN"/>
        </w:rPr>
        <w:t>实行动态管理。资产配置严格按照规定程序报批，坚持资产配备与单位履行职能需要相适应，坚持资产管理与预算管理相结合。资产利用率高，资产配置基本合理，人均占有办公室使用面积、人均占有通用设备数量等指标均在正常范围。科学管理和使用国有资产</w:t>
      </w:r>
      <w:r>
        <w:rPr>
          <w:rFonts w:hint="default"/>
          <w:sz w:val="30"/>
          <w:szCs w:val="30"/>
          <w:lang w:val="en-US" w:eastAsia="zh-CN"/>
        </w:rPr>
        <w:t>,</w:t>
      </w:r>
      <w:r>
        <w:rPr>
          <w:rFonts w:hint="eastAsia"/>
          <w:sz w:val="30"/>
          <w:szCs w:val="30"/>
          <w:lang w:val="en-US" w:eastAsia="zh-CN"/>
        </w:rPr>
        <w:t>保障单位正常运转的同时，合理配备并有效使用资产，充分发挥了国有资产的使用效益和社会效益。</w:t>
      </w:r>
    </w:p>
    <w:p>
      <w:pPr>
        <w:rPr>
          <w:rFonts w:hint="eastAsia"/>
          <w:b/>
          <w:bCs/>
          <w:sz w:val="30"/>
          <w:szCs w:val="30"/>
        </w:rPr>
      </w:pPr>
    </w:p>
    <w:p>
      <w:pPr>
        <w:rPr>
          <w:rFonts w:hint="eastAsia" w:eastAsia="宋体"/>
          <w:sz w:val="30"/>
          <w:szCs w:val="30"/>
          <w:lang w:val="en-US" w:eastAsia="zh-CN"/>
        </w:rPr>
      </w:pPr>
    </w:p>
    <w:p>
      <w:pPr>
        <w:numPr>
          <w:ilvl w:val="0"/>
          <w:numId w:val="0"/>
        </w:numPr>
        <w:rPr>
          <w:rFonts w:hint="default" w:eastAsia="宋体"/>
          <w:b/>
          <w:bCs/>
          <w:sz w:val="30"/>
          <w:szCs w:val="30"/>
          <w:lang w:val="en-US" w:eastAsia="zh-CN"/>
        </w:rPr>
      </w:pPr>
    </w:p>
    <w:p>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kern w:val="2"/>
          <w:sz w:val="32"/>
          <w:szCs w:val="32"/>
          <w:lang w:val="en-US" w:eastAsia="zh-CN" w:bidi="ar-SA"/>
        </w:rPr>
      </w:pPr>
    </w:p>
    <w:p>
      <w:pPr>
        <w:pStyle w:val="7"/>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七、存在的问题及原因分析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kern w:val="2"/>
          <w:sz w:val="32"/>
          <w:szCs w:val="32"/>
          <w:lang w:val="en-US" w:eastAsia="zh-CN" w:bidi="ar-SA"/>
        </w:rPr>
        <w:t>（一）预算精准性有待进一步提高</w:t>
      </w:r>
      <w:r>
        <w:rPr>
          <w:rFonts w:hint="eastAsia" w:ascii="Times New Roman" w:hAnsi="Times New Roman" w:eastAsia="楷体_GB2312" w:cs="Times New Roman"/>
          <w:b w:val="0"/>
          <w:bCs/>
          <w:kern w:val="0"/>
          <w:sz w:val="32"/>
          <w:szCs w:val="32"/>
          <w:lang w:val="en-US" w:eastAsia="zh-CN" w:bidi="ar-SA"/>
        </w:rPr>
        <w:t>。</w:t>
      </w:r>
      <w:r>
        <w:rPr>
          <w:rFonts w:hint="eastAsia" w:ascii="Times New Roman" w:hAnsi="Times New Roman" w:eastAsia="仿宋_GB2312" w:cs="Times New Roman"/>
          <w:sz w:val="32"/>
          <w:szCs w:val="32"/>
          <w:lang w:val="en-US" w:eastAsia="zh-CN"/>
        </w:rPr>
        <w:t>由于预算编制具有不可预见性，年初安排预算时，对各项公用支出的分配安排缺乏统一的硬性标准，导致部分资金使用时需要进行指标调剂。</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Chars="0" w:right="0" w:righ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仿宋_GB2312" w:hAnsi="仿宋_GB2312" w:eastAsia="仿宋_GB2312" w:cs="仿宋_GB2312"/>
          <w:kern w:val="2"/>
          <w:sz w:val="32"/>
          <w:szCs w:val="32"/>
          <w:lang w:val="en-US" w:eastAsia="zh-CN" w:bidi="ar-SA"/>
        </w:rPr>
        <w:t>（二）预算绩效管理意识有待进一步加强，预算绩效管理的工作方法方式有待创新。</w:t>
      </w:r>
      <w:r>
        <w:rPr>
          <w:rFonts w:hint="eastAsia" w:ascii="Times New Roman" w:hAnsi="Times New Roman" w:eastAsia="仿宋_GB2312" w:cs="Times New Roman"/>
          <w:sz w:val="32"/>
          <w:szCs w:val="32"/>
          <w:lang w:val="en-US" w:eastAsia="zh-CN"/>
        </w:rPr>
        <w:t>预算绩效管理工作贯穿全年，与各个业务股室息息相关，由于对预算绩效管理的全面性和重要性缺乏深入的了解，统揽全局的意识有所欠缺，导致预算绩效管理工作在推动过程中能够很好地完成各项工作任务，但工作质量难以实现质的飞跃。</w:t>
      </w:r>
    </w:p>
    <w:p>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kern w:val="2"/>
          <w:sz w:val="32"/>
          <w:szCs w:val="32"/>
          <w:lang w:val="en-US" w:eastAsia="zh-CN" w:bidi="ar-SA"/>
        </w:rPr>
        <w:t>财务业务水平有待进一步提高。</w:t>
      </w:r>
      <w:r>
        <w:rPr>
          <w:rFonts w:hint="eastAsia" w:ascii="Times New Roman" w:hAnsi="Times New Roman" w:eastAsia="仿宋_GB2312" w:cs="Times New Roman"/>
          <w:sz w:val="32"/>
          <w:szCs w:val="32"/>
          <w:lang w:val="en-US" w:eastAsia="zh-CN"/>
        </w:rPr>
        <w:t>由于财务工作内容变化较大，各项制度、政策更新快，加之财务人员忙于琐碎的日常工作，对各项新知识、新业务的学习时间、精力有限，导致财务人员预算绩效管理工作水平一般，在将预算绩效管理转化成工作成果，更好地指导各项工作的开展方面有所欠缺。</w:t>
      </w:r>
    </w:p>
    <w:p>
      <w:pPr>
        <w:keepNext w:val="0"/>
        <w:keepLines w:val="0"/>
        <w:pageBreakBefore w:val="0"/>
        <w:widowControl/>
        <w:numPr>
          <w:ilvl w:val="0"/>
          <w:numId w:val="5"/>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下一步改进措施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（一）加强预算编制的前瞻性，提高预算编制水平</w:t>
      </w:r>
      <w:r>
        <w:rPr>
          <w:rFonts w:hint="eastAsia" w:ascii="楷体" w:hAnsi="楷体" w:eastAsia="楷体" w:cs="楷体"/>
          <w:sz w:val="32"/>
          <w:szCs w:val="32"/>
          <w:lang w:val="en-US" w:eastAsia="zh-CN"/>
        </w:rPr>
        <w:t>。</w:t>
      </w:r>
      <w:r>
        <w:rPr>
          <w:rFonts w:hint="eastAsia" w:ascii="Times New Roman" w:hAnsi="Times New Roman" w:eastAsia="仿宋_GB2312" w:cs="Times New Roman"/>
          <w:sz w:val="32"/>
          <w:szCs w:val="32"/>
          <w:lang w:val="en-US" w:eastAsia="zh-CN"/>
        </w:rPr>
        <w:t>进一步提高预算编制的科学性、合理性、严谨性和可控性，紧密结合上一年度预算执行情况和本年度预算收支变化因素，科学、合理地编制本年预算草案，避免出现预算支出与预算执行出现偏差较大的情况。落实预算执行分析，及时了解预算执行差异，合理调整、纠正预算执行偏差，切实提高部门预算收支管理水平。</w:t>
      </w:r>
    </w:p>
    <w:p>
      <w:pPr>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牢固树立预算绩效管理贯穿全局的理念，进一步创新工作方式方法。切实做好预算绩效管理的上传下达工作，在全单位形成将预算绩效管理意识融入到业务工作中的意识，多向优秀典型案例学习，拓宽工作思路，多想办法，想好办法，自觉提高预算绩效管理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加大财务人员培训力度，提高财务人员从业水平。督促财务人员树立常学常新的理念，及时更新知识体系，通过加大对财务人员预算绩效管理理论水平和实操的培训，提高将预算绩效管理转化成生产力的能力，更好地提高本单位的管理水平，促进各项事业更好发展。</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p>
    <w:p>
      <w:pPr>
        <w:keepNext w:val="0"/>
        <w:keepLines w:val="0"/>
        <w:pageBreakBefore w:val="0"/>
        <w:widowControl/>
        <w:numPr>
          <w:ilvl w:val="0"/>
          <w:numId w:val="5"/>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部门整体支出绩效自评结果拟应用和公开情况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单位2023年度部门整体支出绩效自评结果拟按湖南省财政厅关于印发《湖南省预算支出绩效评价管理办法》的通知（湘财绩〔2020〕7号）要求，在整体支出项目绩效目标编制申报时，根据项目实际情况和预期可达成的目标，设置更科学合理的指标。严格按规定内容、时限在君山区政务中心门户网站公开，接受社会监督。</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p>
    <w:p>
      <w:pPr>
        <w:keepNext w:val="0"/>
        <w:keepLines w:val="0"/>
        <w:pageBreakBefore w:val="0"/>
        <w:widowControl/>
        <w:kinsoku/>
        <w:wordWrap/>
        <w:overflowPunct/>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十、</w:t>
      </w:r>
      <w:r>
        <w:rPr>
          <w:rFonts w:hint="default" w:ascii="Times New Roman" w:hAnsi="Times New Roman" w:eastAsia="黑体" w:cs="Times New Roman"/>
          <w:sz w:val="32"/>
          <w:szCs w:val="32"/>
          <w:highlight w:val="none"/>
        </w:rPr>
        <w:t>其他需要说明的情况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无</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r>
        <w:rPr>
          <w:rFonts w:hint="eastAsia" w:ascii="仿宋_GB2312" w:hAnsi="仿宋_GB2312" w:eastAsia="仿宋_GB2312" w:cs="仿宋_GB2312"/>
          <w:sz w:val="32"/>
          <w:szCs w:val="32"/>
          <w:highlight w:val="none"/>
        </w:rPr>
        <w:t>附件：</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部门整体支出绩效评价基础数据表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部门整体支出绩效自评表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年度项目支出绩效自评表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eastAsia="zh-CN"/>
        </w:rPr>
        <w:t>部门整体支出绩效自评工作考核评分表</w:t>
      </w:r>
    </w:p>
    <w:p>
      <w:pPr>
        <w:spacing w:after="120" w:afterLines="50" w:line="600" w:lineRule="exact"/>
        <w:jc w:val="both"/>
        <w:rPr>
          <w:rFonts w:hint="eastAsia" w:ascii="方正小标宋简体" w:hAnsi="方正小标宋简体" w:eastAsia="方正小标宋简体" w:cs="方正小标宋简体"/>
          <w:sz w:val="36"/>
          <w:szCs w:val="36"/>
          <w:highlight w:val="none"/>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p>
      <w:pPr>
        <w:spacing w:after="120" w:afterLines="50" w:line="600" w:lineRule="exact"/>
        <w:jc w:val="both"/>
        <w:rPr>
          <w:rFonts w:hint="eastAsia" w:ascii="黑体" w:hAnsi="黑体" w:eastAsia="黑体" w:cs="黑体"/>
          <w:sz w:val="32"/>
          <w:szCs w:val="32"/>
          <w:highlight w:val="none"/>
          <w:lang w:eastAsia="zh-CN"/>
        </w:rPr>
      </w:pPr>
    </w:p>
    <w:p>
      <w:pPr>
        <w:spacing w:after="120" w:afterLines="50" w:line="600" w:lineRule="exact"/>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spacing w:after="120" w:afterLines="50" w:line="600" w:lineRule="exact"/>
        <w:ind w:firstLine="1080" w:firstLineChars="300"/>
        <w:jc w:val="both"/>
        <w:rPr>
          <w:rFonts w:hint="eastAsia" w:ascii="方正小标宋简体" w:hAnsi="方正小标宋简体" w:eastAsia="方正小标宋简体" w:cs="方正小标宋简体"/>
          <w:sz w:val="24"/>
          <w:highlight w:val="none"/>
        </w:rPr>
      </w:pPr>
      <w:r>
        <w:rPr>
          <w:rFonts w:hint="eastAsia" w:ascii="方正小标宋简体" w:hAnsi="方正小标宋简体" w:eastAsia="方正小标宋简体" w:cs="方正小标宋简体"/>
          <w:sz w:val="36"/>
          <w:szCs w:val="36"/>
          <w:highlight w:val="none"/>
        </w:rPr>
        <w:t>202</w:t>
      </w:r>
      <w:r>
        <w:rPr>
          <w:rFonts w:hint="eastAsia" w:ascii="方正小标宋简体" w:hAnsi="方正小标宋简体" w:eastAsia="方正小标宋简体" w:cs="方正小标宋简体"/>
          <w:sz w:val="36"/>
          <w:szCs w:val="36"/>
          <w:highlight w:val="none"/>
          <w:lang w:val="en-US" w:eastAsia="zh-CN"/>
        </w:rPr>
        <w:t>3</w:t>
      </w:r>
      <w:r>
        <w:rPr>
          <w:rFonts w:hint="eastAsia" w:ascii="方正小标宋简体" w:hAnsi="方正小标宋简体" w:eastAsia="方正小标宋简体" w:cs="方正小标宋简体"/>
          <w:sz w:val="36"/>
          <w:szCs w:val="36"/>
          <w:highlight w:val="none"/>
        </w:rPr>
        <w:t>年度部门整体支出绩效评价基础数据表</w:t>
      </w:r>
    </w:p>
    <w:tbl>
      <w:tblPr>
        <w:tblStyle w:val="4"/>
        <w:tblW w:w="9673" w:type="dxa"/>
        <w:jc w:val="center"/>
        <w:tblLayout w:type="fixed"/>
        <w:tblCellMar>
          <w:top w:w="0" w:type="dxa"/>
          <w:left w:w="108" w:type="dxa"/>
          <w:bottom w:w="0" w:type="dxa"/>
          <w:right w:w="108" w:type="dxa"/>
        </w:tblCellMar>
      </w:tblPr>
      <w:tblGrid>
        <w:gridCol w:w="3354"/>
        <w:gridCol w:w="1189"/>
        <w:gridCol w:w="849"/>
        <w:gridCol w:w="1129"/>
        <w:gridCol w:w="1111"/>
        <w:gridCol w:w="1081"/>
        <w:gridCol w:w="960"/>
      </w:tblGrid>
      <w:tr>
        <w:tblPrEx>
          <w:tblCellMar>
            <w:top w:w="0" w:type="dxa"/>
            <w:left w:w="108" w:type="dxa"/>
            <w:bottom w:w="0" w:type="dxa"/>
            <w:right w:w="108" w:type="dxa"/>
          </w:tblCellMar>
        </w:tblPrEx>
        <w:trPr>
          <w:trHeight w:val="0"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财政供养人员情况（人）</w:t>
            </w: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编制数</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年实际在职人数</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控制率</w:t>
            </w:r>
          </w:p>
        </w:tc>
      </w:tr>
      <w:tr>
        <w:tblPrEx>
          <w:tblCellMar>
            <w:top w:w="0" w:type="dxa"/>
            <w:left w:w="108" w:type="dxa"/>
            <w:bottom w:w="0" w:type="dxa"/>
            <w:right w:w="108" w:type="dxa"/>
          </w:tblCellMar>
        </w:tblPrEx>
        <w:trPr>
          <w:trHeight w:val="230"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22</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14</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63.64%</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21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经费控制情况（万元）</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2</w:t>
            </w:r>
            <w:r>
              <w:rPr>
                <w:rFonts w:hint="eastAsia" w:ascii="仿宋_GB2312" w:hAnsi="仿宋_GB2312" w:eastAsia="仿宋_GB2312" w:cs="仿宋_GB2312"/>
                <w:b/>
                <w:bCs/>
                <w:sz w:val="20"/>
                <w:szCs w:val="20"/>
                <w:highlight w:val="none"/>
              </w:rPr>
              <w:t>年决算数</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年预算数</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年决算数</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三公经费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1、公务用车购置和维护经费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其中：公车购置</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公车运行维护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2、出国经费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rPr>
              <w:t>　</w:t>
            </w: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3、公务接待</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项目支出：</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142.61</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174.80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174.80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1、业务工作经费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8.16</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2、运行维护经费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both"/>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　　3、</w:t>
            </w:r>
            <w:r>
              <w:rPr>
                <w:rFonts w:hint="eastAsia" w:ascii="仿宋_GB2312" w:hAnsi="仿宋_GB2312" w:eastAsia="仿宋_GB2312" w:cs="仿宋_GB2312"/>
                <w:sz w:val="20"/>
                <w:szCs w:val="20"/>
                <w:highlight w:val="none"/>
              </w:rPr>
              <w:t>提防及电排日常维护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116.59</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49.05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49.05</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both"/>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 xml:space="preserve">    4、水利工程冬春维护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9.88</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1.75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1.75</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both"/>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 xml:space="preserve">    5、小型水库维修养护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4</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18</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18</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both"/>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 xml:space="preserve">    6、防汛备汛</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3.98</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ind w:firstLine="400" w:firstLineChars="200"/>
              <w:jc w:val="both"/>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7、水利救灾</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91</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91</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ind w:firstLine="400" w:firstLineChars="200"/>
              <w:jc w:val="both"/>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8、水利建设资金</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15</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3、</w:t>
            </w:r>
            <w:r>
              <w:rPr>
                <w:rFonts w:hint="eastAsia" w:ascii="仿宋_GB2312" w:hAnsi="仿宋_GB2312" w:eastAsia="仿宋_GB2312" w:cs="仿宋_GB2312"/>
                <w:sz w:val="20"/>
                <w:szCs w:val="20"/>
                <w:highlight w:val="none"/>
                <w:lang w:eastAsia="zh-CN"/>
              </w:rPr>
              <w:t>市级</w:t>
            </w:r>
            <w:r>
              <w:rPr>
                <w:rFonts w:hint="eastAsia" w:ascii="仿宋_GB2312" w:hAnsi="仿宋_GB2312" w:eastAsia="仿宋_GB2312" w:cs="仿宋_GB2312"/>
                <w:sz w:val="20"/>
                <w:szCs w:val="20"/>
                <w:highlight w:val="none"/>
              </w:rPr>
              <w:t>专项资金（一个专项一行）</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公用经费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94.3</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125.21</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125.21</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其中：办公经费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FF0000"/>
                <w:sz w:val="20"/>
                <w:szCs w:val="20"/>
                <w:highlight w:val="none"/>
                <w:lang w:val="en-US" w:eastAsia="zh-CN"/>
              </w:rPr>
            </w:pPr>
            <w:r>
              <w:rPr>
                <w:rFonts w:hint="eastAsia" w:ascii="仿宋_GB2312" w:hAnsi="仿宋_GB2312" w:eastAsia="仿宋_GB2312" w:cs="仿宋_GB2312"/>
                <w:sz w:val="20"/>
                <w:szCs w:val="20"/>
                <w:highlight w:val="none"/>
                <w:lang w:val="en-US" w:eastAsia="zh-CN"/>
              </w:rPr>
              <w:t>1.22</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宋体" w:hAnsi="宋体" w:cs="宋体"/>
                <w:i w:val="0"/>
                <w:iCs w:val="0"/>
                <w:color w:val="000000"/>
                <w:kern w:val="0"/>
                <w:sz w:val="22"/>
                <w:szCs w:val="22"/>
                <w:u w:val="none"/>
                <w:lang w:val="en-US" w:eastAsia="zh-CN" w:bidi="ar"/>
              </w:rPr>
              <w:t>1.12</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FF0000"/>
                <w:sz w:val="20"/>
                <w:szCs w:val="20"/>
                <w:highlight w:val="none"/>
                <w:lang w:val="en-US"/>
              </w:rPr>
            </w:pPr>
            <w:r>
              <w:rPr>
                <w:rFonts w:hint="eastAsia" w:ascii="宋体" w:hAnsi="宋体" w:cs="宋体"/>
                <w:i w:val="0"/>
                <w:iCs w:val="0"/>
                <w:color w:val="000000"/>
                <w:kern w:val="0"/>
                <w:sz w:val="22"/>
                <w:szCs w:val="22"/>
                <w:u w:val="none"/>
                <w:lang w:val="en-US" w:eastAsia="zh-CN" w:bidi="ar"/>
              </w:rPr>
              <w:t>1.12</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水费、电费、差旅费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FF0000"/>
                <w:sz w:val="20"/>
                <w:szCs w:val="20"/>
                <w:highlight w:val="none"/>
                <w:lang w:val="en-US"/>
              </w:rPr>
            </w:pPr>
            <w:r>
              <w:rPr>
                <w:rFonts w:hint="eastAsia" w:ascii="仿宋_GB2312" w:hAnsi="仿宋_GB2312" w:eastAsia="仿宋_GB2312" w:cs="仿宋_GB2312"/>
                <w:sz w:val="20"/>
                <w:szCs w:val="20"/>
                <w:highlight w:val="none"/>
                <w:lang w:val="en-US" w:eastAsia="zh-CN"/>
              </w:rPr>
              <w:t>1.09</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宋体" w:hAnsi="宋体" w:cs="宋体"/>
                <w:i w:val="0"/>
                <w:iCs w:val="0"/>
                <w:color w:val="000000"/>
                <w:kern w:val="0"/>
                <w:sz w:val="22"/>
                <w:szCs w:val="22"/>
                <w:u w:val="none"/>
                <w:lang w:val="en-US" w:eastAsia="zh-CN" w:bidi="ar"/>
              </w:rPr>
              <w:t>0.38</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FF0000"/>
                <w:sz w:val="20"/>
                <w:szCs w:val="20"/>
                <w:highlight w:val="none"/>
                <w:lang w:val="en-US"/>
              </w:rPr>
            </w:pPr>
            <w:r>
              <w:rPr>
                <w:rFonts w:hint="eastAsia" w:ascii="宋体" w:hAnsi="宋体" w:cs="宋体"/>
                <w:i w:val="0"/>
                <w:iCs w:val="0"/>
                <w:color w:val="000000"/>
                <w:kern w:val="0"/>
                <w:sz w:val="22"/>
                <w:szCs w:val="22"/>
                <w:u w:val="none"/>
                <w:lang w:val="en-US" w:eastAsia="zh-CN" w:bidi="ar"/>
              </w:rPr>
              <w:t>0.38</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会议费、培训费</w:t>
            </w:r>
          </w:p>
        </w:tc>
        <w:tc>
          <w:tcPr>
            <w:tcW w:w="2038" w:type="dxa"/>
            <w:gridSpan w:val="2"/>
            <w:tcBorders>
              <w:top w:val="single" w:color="auto" w:sz="4" w:space="0"/>
              <w:left w:val="nil"/>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宋体" w:hAnsi="宋体" w:cs="宋体"/>
                <w:i w:val="0"/>
                <w:iCs w:val="0"/>
                <w:color w:val="000000"/>
                <w:kern w:val="0"/>
                <w:sz w:val="22"/>
                <w:szCs w:val="22"/>
                <w:u w:val="none"/>
                <w:lang w:val="en-US" w:eastAsia="zh-CN" w:bidi="ar"/>
              </w:rPr>
              <w:t>0</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color w:val="FF0000"/>
                <w:sz w:val="20"/>
                <w:szCs w:val="20"/>
                <w:highlight w:val="none"/>
              </w:rPr>
            </w:pPr>
            <w:r>
              <w:rPr>
                <w:rFonts w:hint="eastAsia" w:ascii="宋体" w:hAnsi="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政府采购金额</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159.98</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159.98</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部门基本支出预算调整 </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397.15</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397.15</w:t>
            </w:r>
          </w:p>
        </w:tc>
      </w:tr>
      <w:tr>
        <w:tblPrEx>
          <w:tblCellMar>
            <w:top w:w="0" w:type="dxa"/>
            <w:left w:w="108" w:type="dxa"/>
            <w:bottom w:w="0" w:type="dxa"/>
            <w:right w:w="108" w:type="dxa"/>
          </w:tblCellMar>
        </w:tblPrEx>
        <w:trPr>
          <w:trHeight w:val="0" w:hRule="atLeast"/>
          <w:jc w:val="center"/>
        </w:trPr>
        <w:tc>
          <w:tcPr>
            <w:tcW w:w="3354" w:type="dxa"/>
            <w:vMerge w:val="restart"/>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楼堂馆所控制情况</w:t>
            </w:r>
          </w:p>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（202</w:t>
            </w:r>
            <w:r>
              <w:rPr>
                <w:rFonts w:hint="eastAsia" w:ascii="仿宋_GB2312" w:hAnsi="仿宋_GB2312" w:eastAsia="仿宋_GB2312" w:cs="仿宋_GB2312"/>
                <w:sz w:val="20"/>
                <w:szCs w:val="20"/>
                <w:highlight w:val="none"/>
                <w:lang w:val="en-US" w:eastAsia="zh-CN"/>
              </w:rPr>
              <w:t>3</w:t>
            </w:r>
            <w:r>
              <w:rPr>
                <w:rFonts w:hint="eastAsia" w:ascii="仿宋_GB2312" w:hAnsi="仿宋_GB2312" w:eastAsia="仿宋_GB2312" w:cs="仿宋_GB2312"/>
                <w:sz w:val="20"/>
                <w:szCs w:val="20"/>
                <w:highlight w:val="none"/>
              </w:rPr>
              <w:t>年完工项目）</w:t>
            </w: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lang w:eastAsia="zh-CN"/>
              </w:rPr>
            </w:pPr>
            <w:r>
              <w:rPr>
                <w:rFonts w:hint="eastAsia" w:ascii="仿宋_GB2312" w:hAnsi="仿宋_GB2312" w:eastAsia="仿宋_GB2312" w:cs="仿宋_GB2312"/>
                <w:bCs/>
                <w:sz w:val="20"/>
                <w:szCs w:val="20"/>
                <w:highlight w:val="none"/>
              </w:rPr>
              <w:t>批复规模</w:t>
            </w:r>
          </w:p>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w:t>
            </w:r>
          </w:p>
        </w:tc>
        <w:tc>
          <w:tcPr>
            <w:tcW w:w="84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实际规模（㎡）</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规模控制率</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预算投资（万元）</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实际投资（万元）</w:t>
            </w:r>
          </w:p>
        </w:tc>
        <w:tc>
          <w:tcPr>
            <w:tcW w:w="96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投资概算控制率</w:t>
            </w:r>
          </w:p>
        </w:tc>
      </w:tr>
      <w:tr>
        <w:tblPrEx>
          <w:tblCellMar>
            <w:top w:w="0" w:type="dxa"/>
            <w:left w:w="108" w:type="dxa"/>
            <w:bottom w:w="0" w:type="dxa"/>
            <w:right w:w="108" w:type="dxa"/>
          </w:tblCellMar>
        </w:tblPrEx>
        <w:trPr>
          <w:trHeight w:val="180" w:hRule="atLeast"/>
          <w:jc w:val="center"/>
        </w:trPr>
        <w:tc>
          <w:tcPr>
            <w:tcW w:w="3354" w:type="dxa"/>
            <w:vMerge w:val="continue"/>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84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960"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厉行节约保障措施</w:t>
            </w:r>
          </w:p>
        </w:tc>
        <w:tc>
          <w:tcPr>
            <w:tcW w:w="6319" w:type="dxa"/>
            <w:gridSpan w:val="6"/>
            <w:tcBorders>
              <w:top w:val="single" w:color="auto" w:sz="4" w:space="0"/>
              <w:left w:val="nil"/>
              <w:bottom w:val="single" w:color="auto" w:sz="4" w:space="0"/>
              <w:right w:val="single" w:color="000000"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lang w:val="en-US" w:eastAsia="zh-CN"/>
              </w:rPr>
              <w:t>深入贯彻落实中央八项规定及其实施细则特神，严格控制“三公”经费开支，严禁超范围、超标准开支，践行精细化管理理念，加强绩效化管理，推进绩效评价结果与预算挂钩，严防资金低效使用，确保财力有效转化为保障力。</w:t>
            </w:r>
            <w:r>
              <w:rPr>
                <w:rFonts w:hint="eastAsia" w:ascii="仿宋_GB2312" w:hAnsi="仿宋_GB2312" w:eastAsia="仿宋_GB2312" w:cs="仿宋_GB2312"/>
                <w:sz w:val="20"/>
                <w:szCs w:val="20"/>
                <w:highlight w:val="none"/>
              </w:rPr>
              <w:t>　</w:t>
            </w:r>
          </w:p>
        </w:tc>
      </w:tr>
    </w:tbl>
    <w:p>
      <w:pPr>
        <w:widowControl/>
        <w:spacing w:afterLines="0" w:line="400" w:lineRule="exact"/>
        <w:jc w:val="left"/>
        <w:rPr>
          <w:rFonts w:hint="default" w:ascii="Times New Roman" w:hAnsi="Times New Roman" w:eastAsia="仿宋_GB2312" w:cs="Times New Roman"/>
          <w:sz w:val="22"/>
          <w:highlight w:val="none"/>
        </w:rPr>
      </w:pPr>
      <w:r>
        <w:rPr>
          <w:rFonts w:hint="default" w:ascii="Times New Roman" w:hAnsi="Times New Roman" w:eastAsia="仿宋_GB2312" w:cs="Times New Roman"/>
          <w:sz w:val="22"/>
          <w:highlight w:val="none"/>
        </w:rPr>
        <w:t>说明：“项目支出”需要填报基本支出以外的所有项目支出情况，“公用经费”填报基本支出中的一般商品和服务支出。</w:t>
      </w:r>
    </w:p>
    <w:p>
      <w:pPr>
        <w:widowControl/>
        <w:spacing w:after="0" w:afterLines="0" w:line="400" w:lineRule="exact"/>
        <w:ind w:left="220" w:hanging="220" w:hangingChars="100"/>
        <w:jc w:val="left"/>
        <w:rPr>
          <w:rFonts w:hint="eastAsia" w:ascii="Times New Roman" w:hAnsi="Times New Roman" w:eastAsia="仿宋_GB2312" w:cs="Times New Roman"/>
          <w:sz w:val="22"/>
          <w:highlight w:val="none"/>
          <w:lang w:val="en-US" w:eastAsia="zh-CN"/>
        </w:rPr>
      </w:pPr>
      <w:r>
        <w:rPr>
          <w:rFonts w:hint="default" w:ascii="Times New Roman" w:hAnsi="Times New Roman" w:eastAsia="仿宋_GB2312" w:cs="Times New Roman"/>
          <w:sz w:val="22"/>
          <w:highlight w:val="none"/>
        </w:rPr>
        <w:t>填表人</w:t>
      </w:r>
      <w:r>
        <w:rPr>
          <w:rFonts w:hint="eastAsia" w:ascii="Times New Roman" w:hAnsi="Times New Roman" w:eastAsia="仿宋_GB2312" w:cs="Times New Roman"/>
          <w:sz w:val="22"/>
          <w:highlight w:val="none"/>
          <w:lang w:eastAsia="zh-CN"/>
        </w:rPr>
        <w:t>：</w:t>
      </w:r>
      <w:r>
        <w:rPr>
          <w:rFonts w:hint="default" w:ascii="Times New Roman" w:hAnsi="Times New Roman" w:eastAsia="仿宋_GB2312" w:cs="Times New Roman"/>
          <w:sz w:val="22"/>
          <w:highlight w:val="none"/>
        </w:rPr>
        <w:t>填报日期：</w:t>
      </w:r>
      <w:r>
        <w:rPr>
          <w:rFonts w:hint="eastAsia" w:ascii="Times New Roman" w:hAnsi="Times New Roman" w:eastAsia="仿宋_GB2312" w:cs="Times New Roman"/>
          <w:sz w:val="22"/>
          <w:highlight w:val="none"/>
          <w:lang w:val="en-US" w:eastAsia="zh-CN"/>
        </w:rPr>
        <w:t>2024.6.19</w:t>
      </w:r>
      <w:r>
        <w:rPr>
          <w:rFonts w:hint="default" w:ascii="Times New Roman" w:hAnsi="Times New Roman" w:eastAsia="仿宋_GB2312" w:cs="Times New Roman"/>
          <w:sz w:val="22"/>
          <w:highlight w:val="none"/>
        </w:rPr>
        <w:t xml:space="preserve"> 联系电话：单位负责人签字：</w:t>
      </w:r>
    </w:p>
    <w:p>
      <w:pPr>
        <w:widowControl/>
        <w:spacing w:after="0" w:afterLines="0" w:line="400" w:lineRule="exact"/>
        <w:ind w:left="220" w:hanging="320" w:hangingChars="100"/>
        <w:jc w:val="left"/>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2</w:t>
      </w:r>
    </w:p>
    <w:p>
      <w:pPr>
        <w:widowControl/>
        <w:spacing w:after="120" w:afterLines="50"/>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年度部门整体支出绩效自评表</w:t>
      </w:r>
    </w:p>
    <w:tbl>
      <w:tblPr>
        <w:tblStyle w:val="4"/>
        <w:tblW w:w="10079" w:type="dxa"/>
        <w:jc w:val="center"/>
        <w:tblLayout w:type="autofit"/>
        <w:tblCellMar>
          <w:top w:w="0" w:type="dxa"/>
          <w:left w:w="108" w:type="dxa"/>
          <w:bottom w:w="0" w:type="dxa"/>
          <w:right w:w="108" w:type="dxa"/>
        </w:tblCellMar>
      </w:tblPr>
      <w:tblGrid>
        <w:gridCol w:w="1080"/>
        <w:gridCol w:w="1080"/>
        <w:gridCol w:w="1034"/>
        <w:gridCol w:w="1270"/>
        <w:gridCol w:w="1311"/>
        <w:gridCol w:w="1269"/>
        <w:gridCol w:w="716"/>
        <w:gridCol w:w="873"/>
        <w:gridCol w:w="1446"/>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市</w:t>
            </w:r>
            <w:r>
              <w:rPr>
                <w:rFonts w:hint="eastAsia" w:ascii="仿宋_GB2312" w:hAnsi="仿宋_GB2312" w:eastAsia="仿宋_GB2312" w:cs="仿宋_GB2312"/>
                <w:color w:val="000000"/>
                <w:sz w:val="20"/>
                <w:szCs w:val="20"/>
                <w:highlight w:val="none"/>
              </w:rPr>
              <w:t>级预算部门名称</w:t>
            </w:r>
          </w:p>
        </w:tc>
        <w:tc>
          <w:tcPr>
            <w:tcW w:w="8999" w:type="dxa"/>
            <w:gridSpan w:val="8"/>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岳阳市君山区</w:t>
            </w:r>
            <w:r>
              <w:rPr>
                <w:rFonts w:hint="eastAsia" w:ascii="仿宋_GB2312" w:hAnsi="仿宋_GB2312" w:eastAsia="仿宋_GB2312" w:cs="仿宋_GB2312"/>
                <w:color w:val="000000"/>
                <w:sz w:val="20"/>
                <w:szCs w:val="20"/>
                <w:highlight w:val="none"/>
                <w:lang w:val="en-US" w:eastAsia="zh-CN"/>
              </w:rPr>
              <w:t>钱南垸水委会</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年度预</w:t>
            </w:r>
          </w:p>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算申请</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（万元）</w:t>
            </w:r>
          </w:p>
        </w:tc>
        <w:tc>
          <w:tcPr>
            <w:tcW w:w="2114"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p>
        </w:tc>
        <w:tc>
          <w:tcPr>
            <w:tcW w:w="127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年初预算数</w:t>
            </w:r>
          </w:p>
        </w:tc>
        <w:tc>
          <w:tcPr>
            <w:tcW w:w="1311"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全年预算数</w:t>
            </w:r>
          </w:p>
        </w:tc>
        <w:tc>
          <w:tcPr>
            <w:tcW w:w="1269"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全年执行数</w:t>
            </w:r>
          </w:p>
        </w:tc>
        <w:tc>
          <w:tcPr>
            <w:tcW w:w="71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44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2114"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color w:val="000000"/>
                <w:sz w:val="20"/>
                <w:szCs w:val="20"/>
                <w:highlight w:val="none"/>
              </w:rPr>
              <w:t>年度资金总额</w:t>
            </w:r>
          </w:p>
        </w:tc>
        <w:tc>
          <w:tcPr>
            <w:tcW w:w="1270"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326.38</w:t>
            </w:r>
          </w:p>
        </w:tc>
        <w:tc>
          <w:tcPr>
            <w:tcW w:w="1311"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571.96</w:t>
            </w:r>
          </w:p>
        </w:tc>
        <w:tc>
          <w:tcPr>
            <w:tcW w:w="1269"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rPr>
            </w:pPr>
            <w:r>
              <w:rPr>
                <w:rFonts w:hint="eastAsia" w:ascii="仿宋_GB2312" w:hAnsi="仿宋_GB2312" w:eastAsia="仿宋_GB2312" w:cs="仿宋_GB2312"/>
                <w:sz w:val="20"/>
                <w:szCs w:val="20"/>
                <w:highlight w:val="none"/>
                <w:lang w:val="en-US" w:eastAsia="zh-CN"/>
              </w:rPr>
              <w:t>571.96</w:t>
            </w:r>
          </w:p>
        </w:tc>
        <w:tc>
          <w:tcPr>
            <w:tcW w:w="716"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10</w:t>
            </w:r>
          </w:p>
        </w:tc>
        <w:tc>
          <w:tcPr>
            <w:tcW w:w="873"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100</w:t>
            </w:r>
          </w:p>
        </w:tc>
        <w:tc>
          <w:tcPr>
            <w:tcW w:w="1446"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按收入性质分：</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按支出性质分：</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rPr>
              <w:t xml:space="preserve">  其中：  一般公共预算：</w:t>
            </w:r>
            <w:r>
              <w:rPr>
                <w:rFonts w:hint="eastAsia" w:ascii="仿宋_GB2312" w:hAnsi="仿宋_GB2312" w:eastAsia="仿宋_GB2312" w:cs="仿宋_GB2312"/>
                <w:sz w:val="20"/>
                <w:szCs w:val="20"/>
                <w:highlight w:val="none"/>
                <w:lang w:val="en-US" w:eastAsia="zh-CN"/>
              </w:rPr>
              <w:t>349.91</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rPr>
              <w:t>其中：基本支出：</w:t>
            </w:r>
            <w:r>
              <w:rPr>
                <w:rFonts w:hint="eastAsia" w:ascii="仿宋_GB2312" w:hAnsi="仿宋_GB2312" w:eastAsia="仿宋_GB2312" w:cs="仿宋_GB2312"/>
                <w:sz w:val="20"/>
                <w:szCs w:val="20"/>
                <w:highlight w:val="none"/>
                <w:lang w:val="en-US" w:eastAsia="zh-CN"/>
              </w:rPr>
              <w:t>397.15</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ind w:firstLine="800" w:firstLineChars="400"/>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政府性基金拨款：</w:t>
            </w:r>
            <w:r>
              <w:rPr>
                <w:rFonts w:hint="eastAsia" w:ascii="仿宋_GB2312" w:hAnsi="仿宋_GB2312" w:eastAsia="仿宋_GB2312" w:cs="仿宋_GB2312"/>
                <w:color w:val="000000"/>
                <w:sz w:val="20"/>
                <w:szCs w:val="20"/>
                <w:highlight w:val="none"/>
                <w:lang w:val="en-US" w:eastAsia="zh-CN"/>
              </w:rPr>
              <w:t>0</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ind w:firstLine="600" w:firstLineChars="3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项目支出：</w:t>
            </w:r>
            <w:r>
              <w:rPr>
                <w:rFonts w:hint="eastAsia" w:ascii="仿宋_GB2312" w:hAnsi="仿宋_GB2312" w:eastAsia="仿宋_GB2312" w:cs="仿宋_GB2312"/>
                <w:color w:val="000000"/>
                <w:sz w:val="20"/>
                <w:szCs w:val="20"/>
                <w:highlight w:val="none"/>
                <w:lang w:val="en-US" w:eastAsia="zh-CN"/>
              </w:rPr>
              <w:t>174.81</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纳入专户管理的非税收入拨款：</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continue"/>
            <w:tcBorders>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nil"/>
              <w:left w:val="nil"/>
              <w:bottom w:val="single" w:color="auto" w:sz="4" w:space="0"/>
              <w:right w:val="single" w:color="auto" w:sz="4" w:space="0"/>
            </w:tcBorders>
            <w:noWrap w:val="0"/>
            <w:vAlign w:val="center"/>
          </w:tcPr>
          <w:p>
            <w:pPr>
              <w:widowControl/>
              <w:spacing w:line="240" w:lineRule="exact"/>
              <w:ind w:firstLine="1400" w:firstLineChars="700"/>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其他资金：</w:t>
            </w:r>
            <w:r>
              <w:rPr>
                <w:rFonts w:hint="eastAsia" w:ascii="仿宋_GB2312" w:hAnsi="仿宋_GB2312" w:eastAsia="仿宋_GB2312" w:cs="仿宋_GB2312"/>
                <w:color w:val="000000"/>
                <w:sz w:val="20"/>
                <w:szCs w:val="20"/>
                <w:highlight w:val="none"/>
                <w:lang w:val="en-US" w:eastAsia="zh-CN"/>
              </w:rPr>
              <w:t>250.38</w:t>
            </w:r>
          </w:p>
        </w:tc>
        <w:tc>
          <w:tcPr>
            <w:tcW w:w="4304"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695" w:type="dxa"/>
            <w:gridSpan w:val="4"/>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304"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4695" w:type="dxa"/>
            <w:gridSpan w:val="4"/>
            <w:tcBorders>
              <w:top w:val="single" w:color="auto" w:sz="4" w:space="0"/>
              <w:left w:val="nil"/>
              <w:bottom w:val="single" w:color="auto" w:sz="4" w:space="0"/>
              <w:right w:val="single" w:color="000000"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kern w:val="0"/>
                <w:sz w:val="20"/>
                <w:szCs w:val="20"/>
                <w:highlight w:val="none"/>
                <w:lang w:val="en-US" w:eastAsia="zh-CN" w:bidi="ar"/>
              </w:rPr>
              <w:t>2023年，在局党委的正确领导和大力支持下，以防汛抗灾为中心，以排涝、抗旱为工作重点。依靠全体职工的团结协作，圆满完成上级下达的各项工作。</w:t>
            </w:r>
          </w:p>
        </w:tc>
        <w:tc>
          <w:tcPr>
            <w:tcW w:w="4304" w:type="dxa"/>
            <w:gridSpan w:val="4"/>
            <w:tcBorders>
              <w:top w:val="single" w:color="auto" w:sz="4" w:space="0"/>
              <w:left w:val="nil"/>
              <w:bottom w:val="single" w:color="auto" w:sz="4" w:space="0"/>
              <w:right w:val="single" w:color="auto" w:sz="4" w:space="0"/>
            </w:tcBorders>
            <w:noWrap w:val="0"/>
            <w:vAlign w:val="top"/>
          </w:tcPr>
          <w:p>
            <w:pPr>
              <w:widowControl/>
              <w:spacing w:line="240" w:lineRule="exact"/>
              <w:ind w:firstLine="400" w:firstLineChars="200"/>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kern w:val="0"/>
                <w:sz w:val="20"/>
                <w:szCs w:val="20"/>
                <w:highlight w:val="none"/>
                <w:lang w:val="en-US" w:eastAsia="zh-CN" w:bidi="ar"/>
              </w:rPr>
              <w:t>2023年全年召开支部会议12次，党员大会6次，上党课2堂，开展主题党日活动12 次，组织党员学习、观影，写心得体会，通过各种形式抓好主题教育。签订党员公开承诺书，建立党员示范岗、党员责任区，加强阵地建设，规范资料台账。对重要工作抓不懈确保安全度汛，汛前组织人员对各堤防特别是水闸等重点部位实施勤观测。对在巡查过程中所发现的问题及时进行整改。针对拟定的扫障除杂计划，召开班子会议商议具体事项，从每年的3月初至10月底开始堤防扫障除杂工作，全体工作人员发挥不怕脏、不怕累的精神，完成了钱南垸所有堤防的扫障除杂，抓住冬季枯水季的有利时机对各涵闸实施了维修保养、并对涵闸的水下部分检查、金属构件刷漆、启闭机的润滑油更换补充、闸门更换止水橡皮等。目前已全部完成管辖区域22台涵闸启闭机的维修保养工作。</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p>
            <w:pPr>
              <w:widowControl/>
              <w:spacing w:line="240" w:lineRule="exact"/>
              <w:jc w:val="center"/>
              <w:rPr>
                <w:rFonts w:hint="eastAsia" w:ascii="仿宋_GB2312" w:hAnsi="仿宋_GB2312" w:eastAsia="仿宋_GB2312" w:cs="仿宋_GB2312"/>
                <w:color w:val="000000"/>
                <w:sz w:val="20"/>
                <w:szCs w:val="20"/>
                <w:highlight w:val="none"/>
              </w:rPr>
            </w:pP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3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年度指标值</w:t>
            </w:r>
          </w:p>
        </w:tc>
        <w:tc>
          <w:tcPr>
            <w:tcW w:w="1269" w:type="dxa"/>
            <w:tcBorders>
              <w:top w:val="nil"/>
              <w:left w:val="nil"/>
              <w:bottom w:val="single" w:color="auto" w:sz="4" w:space="0"/>
              <w:right w:val="single" w:color="auto" w:sz="4" w:space="0"/>
            </w:tcBorders>
            <w:noWrap w:val="0"/>
            <w:vAlign w:val="center"/>
          </w:tcPr>
          <w:p>
            <w:pPr>
              <w:widowControl/>
              <w:spacing w:line="240" w:lineRule="exac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实际完成值</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widowControl/>
              <w:spacing w:line="240" w:lineRule="exact"/>
              <w:jc w:val="center"/>
              <w:rPr>
                <w:rFonts w:hint="eastAsia" w:ascii="仿宋_GB2312" w:hAnsi="仿宋_GB2312" w:eastAsia="仿宋_GB2312" w:cs="仿宋_GB2312"/>
                <w:color w:val="000000"/>
                <w:sz w:val="20"/>
                <w:szCs w:val="20"/>
                <w:highlight w:val="none"/>
              </w:rPr>
            </w:pP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034"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堤防维护长度</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≥1000米/次</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保护堤防维护2023年长度94.851千米</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vMerge w:val="continue"/>
            <w:tcBorders>
              <w:left w:val="nil"/>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27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对各涵闸实施维修保养</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≥27台</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已全部完成管辖区域22台涵闸启闭机的维修保养工作</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vMerge w:val="restart"/>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val="en-US" w:eastAsia="zh-CN"/>
              </w:rPr>
              <w:t>堤防维护率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lang w:val="en-US" w:eastAsia="zh-CN"/>
              </w:rPr>
              <w:t>　　＝100%</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lang w:val="en-US" w:eastAsia="zh-CN"/>
              </w:rPr>
              <w:t>＝100%</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vMerge w:val="continue"/>
            <w:tcBorders>
              <w:left w:val="nil"/>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27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val="en-US" w:eastAsia="zh-CN"/>
              </w:rPr>
              <w:t>严格落实安全生产的主体责任制</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r>
              <w:rPr>
                <w:rFonts w:hint="eastAsia" w:ascii="仿宋_GB2312" w:hAnsi="仿宋_GB2312" w:eastAsia="仿宋_GB2312" w:cs="仿宋_GB2312"/>
                <w:color w:val="000000"/>
                <w:sz w:val="20"/>
                <w:szCs w:val="20"/>
                <w:lang w:val="en-US" w:eastAsia="zh-CN"/>
              </w:rPr>
              <w:t>%</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lang w:val="en-US" w:eastAsia="zh-CN"/>
              </w:rPr>
              <w:t>98</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5</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vMerge w:val="continue"/>
            <w:tcBorders>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党员参与率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　＝</w:t>
            </w:r>
            <w:r>
              <w:rPr>
                <w:rFonts w:hint="eastAsia" w:ascii="仿宋_GB2312" w:hAnsi="仿宋_GB2312" w:eastAsia="仿宋_GB2312" w:cs="仿宋_GB2312"/>
                <w:color w:val="000000"/>
                <w:sz w:val="20"/>
                <w:szCs w:val="20"/>
                <w:lang w:val="en-US" w:eastAsia="zh-CN"/>
              </w:rPr>
              <w:t>100%</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lang w:val="en-US" w:eastAsia="zh-CN"/>
              </w:rPr>
              <w:t>＝100%</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年度各项任务完成期限</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2023年12月31日前</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2023年12月20日前</w:t>
            </w:r>
          </w:p>
        </w:tc>
        <w:tc>
          <w:tcPr>
            <w:tcW w:w="7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预算控制率</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宋体" w:hAnsi="宋体" w:eastAsia="宋体" w:cs="宋体"/>
                <w:color w:val="000000"/>
                <w:sz w:val="20"/>
                <w:szCs w:val="20"/>
                <w:highlight w:val="none"/>
                <w:lang w:val="en-US" w:eastAsia="zh-CN"/>
              </w:rPr>
              <w:t>≦</w:t>
            </w:r>
            <w:r>
              <w:rPr>
                <w:rFonts w:hint="eastAsia" w:ascii="仿宋_GB2312" w:hAnsi="仿宋_GB2312" w:eastAsia="仿宋_GB2312" w:cs="仿宋_GB2312"/>
                <w:color w:val="000000"/>
                <w:sz w:val="20"/>
                <w:szCs w:val="20"/>
                <w:highlight w:val="none"/>
                <w:lang w:val="en-US" w:eastAsia="zh-CN"/>
              </w:rPr>
              <w:t>100%</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宋体" w:hAnsi="宋体" w:eastAsia="宋体" w:cs="宋体"/>
                <w:color w:val="000000"/>
                <w:sz w:val="20"/>
                <w:szCs w:val="20"/>
                <w:highlight w:val="none"/>
                <w:lang w:val="en-US" w:eastAsia="zh-CN"/>
              </w:rPr>
              <w:t>≦</w:t>
            </w:r>
            <w:r>
              <w:rPr>
                <w:rFonts w:hint="eastAsia" w:ascii="仿宋_GB2312" w:hAnsi="仿宋_GB2312" w:eastAsia="仿宋_GB2312" w:cs="仿宋_GB2312"/>
                <w:color w:val="000000"/>
                <w:sz w:val="20"/>
                <w:szCs w:val="20"/>
                <w:highlight w:val="none"/>
                <w:lang w:val="en-US" w:eastAsia="zh-CN"/>
              </w:rPr>
              <w:t>100%</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widowControl/>
              <w:spacing w:line="240" w:lineRule="exact"/>
              <w:jc w:val="left"/>
              <w:rPr>
                <w:rFonts w:hint="eastAsia" w:ascii="仿宋_GB2312" w:hAnsi="仿宋_GB2312" w:eastAsia="仿宋_GB2312" w:cs="仿宋_GB2312"/>
                <w:color w:val="000000"/>
                <w:sz w:val="20"/>
                <w:szCs w:val="20"/>
                <w:highlight w:val="none"/>
              </w:rPr>
            </w:pP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34" w:type="dxa"/>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间接推动经济发展</w:t>
            </w:r>
          </w:p>
        </w:tc>
        <w:tc>
          <w:tcPr>
            <w:tcW w:w="1311" w:type="dxa"/>
            <w:tcBorders>
              <w:top w:val="nil"/>
              <w:left w:val="nil"/>
              <w:bottom w:val="single" w:color="auto" w:sz="4" w:space="0"/>
              <w:right w:val="single" w:color="auto" w:sz="4" w:space="0"/>
            </w:tcBorders>
            <w:noWrap w:val="0"/>
            <w:vAlign w:val="center"/>
          </w:tcPr>
          <w:p>
            <w:pPr>
              <w:keepNext w:val="0"/>
              <w:keepLines w:val="0"/>
              <w:widowControl/>
              <w:suppressLineNumbers w:val="0"/>
              <w:ind w:firstLine="400" w:firstLineChars="200"/>
              <w:jc w:val="left"/>
              <w:textAlignment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val="en-US" w:eastAsia="zh-CN"/>
              </w:rPr>
              <w:t>定性</w:t>
            </w:r>
          </w:p>
        </w:tc>
        <w:tc>
          <w:tcPr>
            <w:tcW w:w="126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有效推动</w:t>
            </w:r>
          </w:p>
        </w:tc>
        <w:tc>
          <w:tcPr>
            <w:tcW w:w="7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8</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效果一般</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保证大堤安全度汛</w:t>
            </w:r>
          </w:p>
        </w:tc>
        <w:tc>
          <w:tcPr>
            <w:tcW w:w="1311" w:type="dxa"/>
            <w:tcBorders>
              <w:top w:val="nil"/>
              <w:left w:val="nil"/>
              <w:bottom w:val="single" w:color="auto" w:sz="4" w:space="0"/>
              <w:right w:val="single" w:color="auto" w:sz="4" w:space="0"/>
            </w:tcBorders>
            <w:noWrap w:val="0"/>
            <w:vAlign w:val="center"/>
          </w:tcPr>
          <w:p>
            <w:pPr>
              <w:keepNext w:val="0"/>
              <w:keepLines w:val="0"/>
              <w:widowControl/>
              <w:suppressLineNumbers w:val="0"/>
              <w:ind w:firstLine="400" w:firstLineChars="200"/>
              <w:jc w:val="left"/>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定性</w:t>
            </w:r>
          </w:p>
        </w:tc>
        <w:tc>
          <w:tcPr>
            <w:tcW w:w="126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有效提升</w:t>
            </w:r>
          </w:p>
        </w:tc>
        <w:tc>
          <w:tcPr>
            <w:tcW w:w="71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rPr>
              <w:t>建设美丽湖堤</w:t>
            </w:r>
          </w:p>
        </w:tc>
        <w:tc>
          <w:tcPr>
            <w:tcW w:w="1311"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定性</w:t>
            </w:r>
          </w:p>
        </w:tc>
        <w:tc>
          <w:tcPr>
            <w:tcW w:w="1269"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有效加强</w:t>
            </w:r>
          </w:p>
        </w:tc>
        <w:tc>
          <w:tcPr>
            <w:tcW w:w="716"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trHeight w:val="290" w:hRule="atLeast"/>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34" w:type="dxa"/>
            <w:tcBorders>
              <w:top w:val="single" w:color="auto" w:sz="4" w:space="0"/>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lang w:eastAsia="zh-CN"/>
              </w:rPr>
            </w:pPr>
            <w:r>
              <w:rPr>
                <w:rFonts w:hint="eastAsia" w:ascii="仿宋_GB2312" w:hAnsi="仿宋_GB2312" w:eastAsia="仿宋_GB2312" w:cs="仿宋_GB2312"/>
                <w:color w:val="000000"/>
                <w:sz w:val="20"/>
                <w:szCs w:val="20"/>
              </w:rPr>
              <w:t>加快湖堤标准化建设</w:t>
            </w:r>
          </w:p>
        </w:tc>
        <w:tc>
          <w:tcPr>
            <w:tcW w:w="131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rPr>
            </w:pPr>
            <w:r>
              <w:rPr>
                <w:rFonts w:hint="eastAsia" w:ascii="仿宋_GB2312" w:hAnsi="仿宋_GB2312" w:eastAsia="仿宋_GB2312" w:cs="仿宋_GB2312"/>
                <w:color w:val="000000"/>
                <w:sz w:val="20"/>
                <w:szCs w:val="20"/>
              </w:rPr>
              <w:t>　</w:t>
            </w:r>
            <w:r>
              <w:rPr>
                <w:rFonts w:hint="eastAsia" w:ascii="仿宋_GB2312" w:hAnsi="仿宋_GB2312" w:eastAsia="仿宋_GB2312" w:cs="仿宋_GB2312"/>
                <w:color w:val="000000"/>
                <w:sz w:val="20"/>
                <w:szCs w:val="20"/>
                <w:lang w:eastAsia="zh-CN"/>
              </w:rPr>
              <w:t>效果显著</w:t>
            </w:r>
          </w:p>
        </w:tc>
        <w:tc>
          <w:tcPr>
            <w:tcW w:w="1269"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效果显著</w:t>
            </w:r>
          </w:p>
        </w:tc>
        <w:tc>
          <w:tcPr>
            <w:tcW w:w="71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trHeight w:val="330"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34" w:type="dxa"/>
            <w:tcBorders>
              <w:top w:val="nil"/>
              <w:left w:val="nil"/>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7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群众满意度</w:t>
            </w:r>
          </w:p>
        </w:tc>
        <w:tc>
          <w:tcPr>
            <w:tcW w:w="1311"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rPr>
              <w:t>≥</w:t>
            </w:r>
            <w:r>
              <w:rPr>
                <w:rFonts w:hint="eastAsia" w:ascii="仿宋_GB2312" w:hAnsi="仿宋_GB2312" w:eastAsia="仿宋_GB2312" w:cs="仿宋_GB2312"/>
                <w:color w:val="000000"/>
                <w:sz w:val="20"/>
                <w:szCs w:val="20"/>
                <w:highlight w:val="none"/>
                <w:lang w:val="en-US" w:eastAsia="zh-CN"/>
              </w:rPr>
              <w:t>90%</w:t>
            </w:r>
          </w:p>
        </w:tc>
        <w:tc>
          <w:tcPr>
            <w:tcW w:w="1269"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rPr>
              <w:t>≥</w:t>
            </w:r>
            <w:r>
              <w:rPr>
                <w:rFonts w:hint="eastAsia" w:ascii="仿宋_GB2312" w:hAnsi="仿宋_GB2312" w:eastAsia="仿宋_GB2312" w:cs="仿宋_GB2312"/>
                <w:color w:val="000000"/>
                <w:sz w:val="20"/>
                <w:szCs w:val="20"/>
                <w:highlight w:val="none"/>
                <w:lang w:val="en-US" w:eastAsia="zh-CN"/>
              </w:rPr>
              <w:t>90%</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trHeight w:val="270" w:hRule="atLeast"/>
          <w:jc w:val="center"/>
        </w:trPr>
        <w:tc>
          <w:tcPr>
            <w:tcW w:w="7044" w:type="dxa"/>
            <w:gridSpan w:val="6"/>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716"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98</w:t>
            </w:r>
          </w:p>
        </w:tc>
        <w:tc>
          <w:tcPr>
            <w:tcW w:w="1446"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widowControl/>
        <w:spacing w:after="0" w:afterLines="0" w:line="400" w:lineRule="exact"/>
        <w:ind w:left="220" w:hanging="220" w:hangingChars="100"/>
        <w:jc w:val="left"/>
        <w:rPr>
          <w:rFonts w:hint="eastAsia" w:ascii="Times New Roman" w:hAnsi="Times New Roman" w:eastAsia="仿宋_GB2312" w:cs="Times New Roman"/>
          <w:sz w:val="22"/>
          <w:highlight w:val="none"/>
          <w:lang w:val="en-US" w:eastAsia="zh-CN"/>
        </w:rPr>
      </w:pPr>
      <w:r>
        <w:rPr>
          <w:rFonts w:hint="default" w:ascii="Times New Roman" w:hAnsi="Times New Roman" w:eastAsia="仿宋_GB2312" w:cs="Times New Roman"/>
          <w:sz w:val="22"/>
          <w:highlight w:val="none"/>
        </w:rPr>
        <w:t>填表人</w:t>
      </w:r>
      <w:r>
        <w:rPr>
          <w:rFonts w:hint="eastAsia" w:ascii="Times New Roman" w:hAnsi="Times New Roman" w:eastAsia="仿宋_GB2312" w:cs="Times New Roman"/>
          <w:sz w:val="22"/>
          <w:highlight w:val="none"/>
          <w:lang w:eastAsia="zh-CN"/>
        </w:rPr>
        <w:t>：</w:t>
      </w:r>
      <w:r>
        <w:rPr>
          <w:rFonts w:hint="default" w:ascii="Times New Roman" w:hAnsi="Times New Roman" w:eastAsia="仿宋_GB2312" w:cs="Times New Roman"/>
          <w:sz w:val="22"/>
          <w:highlight w:val="none"/>
        </w:rPr>
        <w:t>填报日期：</w:t>
      </w:r>
      <w:r>
        <w:rPr>
          <w:rFonts w:hint="eastAsia" w:ascii="Times New Roman" w:hAnsi="Times New Roman" w:eastAsia="仿宋_GB2312" w:cs="Times New Roman"/>
          <w:sz w:val="22"/>
          <w:highlight w:val="none"/>
          <w:lang w:val="en-US" w:eastAsia="zh-CN"/>
        </w:rPr>
        <w:t>2024.6.19</w:t>
      </w:r>
      <w:r>
        <w:rPr>
          <w:rFonts w:hint="default" w:ascii="Times New Roman" w:hAnsi="Times New Roman" w:eastAsia="仿宋_GB2312" w:cs="Times New Roman"/>
          <w:sz w:val="22"/>
          <w:highlight w:val="none"/>
        </w:rPr>
        <w:t xml:space="preserve"> 联系电话：单位负责人签字：</w:t>
      </w: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eastAsia" w:ascii="Times New Roman" w:hAnsi="Times New Roman" w:eastAsia="黑体" w:cs="Times New Roman"/>
          <w:sz w:val="32"/>
          <w:szCs w:val="32"/>
          <w:highlight w:val="none"/>
          <w:lang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3</w:t>
      </w:r>
    </w:p>
    <w:p>
      <w:pPr>
        <w:widowControl/>
        <w:spacing w:line="600" w:lineRule="exact"/>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年度项目支出绩效自评表</w:t>
      </w:r>
    </w:p>
    <w:tbl>
      <w:tblPr>
        <w:tblStyle w:val="4"/>
        <w:tblW w:w="9851" w:type="dxa"/>
        <w:jc w:val="center"/>
        <w:tblLayout w:type="autofit"/>
        <w:tblCellMar>
          <w:top w:w="0" w:type="dxa"/>
          <w:left w:w="108" w:type="dxa"/>
          <w:bottom w:w="0" w:type="dxa"/>
          <w:right w:w="108" w:type="dxa"/>
        </w:tblCellMar>
      </w:tblPr>
      <w:tblGrid>
        <w:gridCol w:w="1080"/>
        <w:gridCol w:w="1080"/>
        <w:gridCol w:w="1080"/>
        <w:gridCol w:w="1224"/>
        <w:gridCol w:w="1134"/>
        <w:gridCol w:w="1134"/>
        <w:gridCol w:w="828"/>
        <w:gridCol w:w="873"/>
        <w:gridCol w:w="1418"/>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项目支</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出名称</w:t>
            </w:r>
          </w:p>
        </w:tc>
        <w:tc>
          <w:tcPr>
            <w:tcW w:w="8771"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水利建设资金</w:t>
            </w: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主管部门</w:t>
            </w:r>
          </w:p>
        </w:tc>
        <w:tc>
          <w:tcPr>
            <w:tcW w:w="4518"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岳阳市君山区水利局</w:t>
            </w:r>
          </w:p>
        </w:tc>
        <w:tc>
          <w:tcPr>
            <w:tcW w:w="1134" w:type="dxa"/>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实施单位</w:t>
            </w:r>
          </w:p>
        </w:tc>
        <w:tc>
          <w:tcPr>
            <w:tcW w:w="3119"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岳阳市君山区钱南水委会</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项目资金</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年初</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全年</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执行数</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年度资金总额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66</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66</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66</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其中：当年财政拨款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66</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66</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66</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上年结转资金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其他资金</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518"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253"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4518"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1、对</w:t>
            </w:r>
            <w:r>
              <w:rPr>
                <w:rFonts w:hint="eastAsia" w:ascii="仿宋_GB2312" w:hAnsi="仿宋_GB2312" w:eastAsia="仿宋_GB2312" w:cs="仿宋_GB2312"/>
                <w:color w:val="000000"/>
                <w:sz w:val="20"/>
                <w:szCs w:val="20"/>
                <w:highlight w:val="none"/>
                <w:lang w:val="en-US" w:eastAsia="zh-CN"/>
              </w:rPr>
              <w:t>范围内</w:t>
            </w:r>
            <w:r>
              <w:rPr>
                <w:rFonts w:hint="eastAsia" w:ascii="仿宋_GB2312" w:hAnsi="仿宋_GB2312" w:eastAsia="仿宋_GB2312" w:cs="仿宋_GB2312"/>
                <w:color w:val="000000"/>
                <w:sz w:val="20"/>
                <w:szCs w:val="20"/>
                <w:highlight w:val="none"/>
              </w:rPr>
              <w:t>水库、堤防、岸线、穿堤涵闸、电排、垸内节制闸及在建涉水工程等水利设施进行了安全隐患大检查，并逐处逐项建立了台账，明确了整改责任人、整改措施及整改时限，落实专人跟踪核验督办。</w:t>
            </w:r>
          </w:p>
        </w:tc>
        <w:tc>
          <w:tcPr>
            <w:tcW w:w="4253"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针对拟定的扫障除杂计划，召开班子会议商议具体事项，从每年的</w:t>
            </w:r>
            <w:r>
              <w:rPr>
                <w:rFonts w:hint="eastAsia" w:ascii="仿宋_GB2312" w:hAnsi="仿宋_GB2312" w:eastAsia="仿宋_GB2312" w:cs="仿宋_GB2312"/>
                <w:color w:val="000000"/>
                <w:sz w:val="20"/>
                <w:szCs w:val="20"/>
                <w:highlight w:val="none"/>
                <w:lang w:val="en-US" w:eastAsia="zh-CN"/>
              </w:rPr>
              <w:t>3月初至10月底开始堤防扫障除杂工作，全体工作人员发挥不怕脏、不怕累的精神，完成了钱南垸所有堤防的扫障除杂，抓住冬季枯水季的有利时机对各涵闸实施了维修保养、并对涵闸的水下部分检查、金属构件刷漆、启闭机的润滑油更换补充、闸门更换止水橡皮等。目前已全部完成管辖区域22台涵闸启闭机的维修保养工作。</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指标值</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完成值</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治理薄弱环节处/发现薄弱环节处</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促进</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已完成</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排渍口应急检测次数28次</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≥28次</w:t>
            </w:r>
            <w:bookmarkStart w:id="0" w:name="_GoBack"/>
            <w:bookmarkEnd w:id="0"/>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已完成</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无偏差</w:t>
            </w:r>
          </w:p>
        </w:tc>
      </w:tr>
      <w:tr>
        <w:tblPrEx>
          <w:tblCellMar>
            <w:top w:w="0" w:type="dxa"/>
            <w:left w:w="108" w:type="dxa"/>
            <w:bottom w:w="0" w:type="dxa"/>
            <w:right w:w="108" w:type="dxa"/>
          </w:tblCellMar>
        </w:tblPrEx>
        <w:trPr>
          <w:trHeight w:val="505" w:hRule="atLeast"/>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24"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堤防维护率</w:t>
            </w:r>
          </w:p>
        </w:tc>
        <w:tc>
          <w:tcPr>
            <w:tcW w:w="1134"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lang w:val="en-US" w:eastAsia="zh-CN"/>
              </w:rPr>
              <w:t>　　＝100%</w:t>
            </w:r>
          </w:p>
        </w:tc>
        <w:tc>
          <w:tcPr>
            <w:tcW w:w="113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lang w:val="en-US" w:eastAsia="zh-CN"/>
              </w:rPr>
              <w:t>＝100%</w:t>
            </w:r>
          </w:p>
        </w:tc>
        <w:tc>
          <w:tcPr>
            <w:tcW w:w="828"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完成提防的扫障除杂工作</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113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2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年度各项任务完成期限</w:t>
            </w:r>
          </w:p>
        </w:tc>
        <w:tc>
          <w:tcPr>
            <w:tcW w:w="113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2023年12月31日前</w:t>
            </w:r>
          </w:p>
        </w:tc>
        <w:tc>
          <w:tcPr>
            <w:tcW w:w="113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2023年12月20日前</w:t>
            </w:r>
          </w:p>
        </w:tc>
        <w:tc>
          <w:tcPr>
            <w:tcW w:w="82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41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24"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预算控制率</w:t>
            </w:r>
          </w:p>
        </w:tc>
        <w:tc>
          <w:tcPr>
            <w:tcW w:w="113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宋体" w:hAnsi="宋体" w:eastAsia="宋体" w:cs="宋体"/>
                <w:color w:val="000000"/>
                <w:sz w:val="20"/>
                <w:szCs w:val="20"/>
                <w:highlight w:val="none"/>
                <w:lang w:val="en-US" w:eastAsia="zh-CN"/>
              </w:rPr>
              <w:t>≦</w:t>
            </w:r>
            <w:r>
              <w:rPr>
                <w:rFonts w:hint="eastAsia" w:ascii="仿宋_GB2312" w:hAnsi="仿宋_GB2312" w:eastAsia="仿宋_GB2312" w:cs="仿宋_GB2312"/>
                <w:color w:val="000000"/>
                <w:sz w:val="20"/>
                <w:szCs w:val="20"/>
                <w:highlight w:val="none"/>
                <w:lang w:val="en-US" w:eastAsia="zh-CN"/>
              </w:rPr>
              <w:t>100%</w:t>
            </w:r>
          </w:p>
        </w:tc>
        <w:tc>
          <w:tcPr>
            <w:tcW w:w="1134"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宋体" w:hAnsi="宋体" w:eastAsia="宋体" w:cs="宋体"/>
                <w:color w:val="000000"/>
                <w:sz w:val="20"/>
                <w:szCs w:val="20"/>
                <w:highlight w:val="none"/>
                <w:lang w:val="en-US" w:eastAsia="zh-CN"/>
              </w:rPr>
              <w:t>≦</w:t>
            </w:r>
            <w:r>
              <w:rPr>
                <w:rFonts w:hint="eastAsia" w:ascii="仿宋_GB2312" w:hAnsi="仿宋_GB2312" w:eastAsia="仿宋_GB2312" w:cs="仿宋_GB2312"/>
                <w:color w:val="000000"/>
                <w:sz w:val="20"/>
                <w:szCs w:val="20"/>
                <w:highlight w:val="none"/>
                <w:lang w:val="en-US" w:eastAsia="zh-CN"/>
              </w:rPr>
              <w:t>100%</w:t>
            </w:r>
          </w:p>
        </w:tc>
        <w:tc>
          <w:tcPr>
            <w:tcW w:w="828"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5</w:t>
            </w:r>
          </w:p>
        </w:tc>
        <w:tc>
          <w:tcPr>
            <w:tcW w:w="141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间接推动经济发展</w:t>
            </w:r>
          </w:p>
        </w:tc>
        <w:tc>
          <w:tcPr>
            <w:tcW w:w="1134" w:type="dxa"/>
            <w:tcBorders>
              <w:top w:val="nil"/>
              <w:left w:val="nil"/>
              <w:bottom w:val="single" w:color="auto" w:sz="4" w:space="0"/>
              <w:right w:val="single" w:color="auto" w:sz="4" w:space="0"/>
            </w:tcBorders>
            <w:noWrap w:val="0"/>
            <w:vAlign w:val="center"/>
          </w:tcPr>
          <w:p>
            <w:pPr>
              <w:keepNext w:val="0"/>
              <w:keepLines w:val="0"/>
              <w:widowControl/>
              <w:suppressLineNumbers w:val="0"/>
              <w:ind w:firstLine="400" w:firstLineChars="200"/>
              <w:jc w:val="left"/>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定性</w:t>
            </w:r>
          </w:p>
        </w:tc>
        <w:tc>
          <w:tcPr>
            <w:tcW w:w="113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有效推动</w:t>
            </w:r>
          </w:p>
        </w:tc>
        <w:tc>
          <w:tcPr>
            <w:tcW w:w="82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8</w:t>
            </w:r>
          </w:p>
        </w:tc>
        <w:tc>
          <w:tcPr>
            <w:tcW w:w="141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效果一般</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保证大堤安全度汛</w:t>
            </w:r>
          </w:p>
        </w:tc>
        <w:tc>
          <w:tcPr>
            <w:tcW w:w="1134" w:type="dxa"/>
            <w:tcBorders>
              <w:top w:val="nil"/>
              <w:left w:val="nil"/>
              <w:bottom w:val="single" w:color="auto" w:sz="4" w:space="0"/>
              <w:right w:val="single" w:color="auto" w:sz="4" w:space="0"/>
            </w:tcBorders>
            <w:noWrap w:val="0"/>
            <w:vAlign w:val="center"/>
          </w:tcPr>
          <w:p>
            <w:pPr>
              <w:keepNext w:val="0"/>
              <w:keepLines w:val="0"/>
              <w:widowControl/>
              <w:suppressLineNumbers w:val="0"/>
              <w:ind w:firstLine="400" w:firstLineChars="200"/>
              <w:jc w:val="left"/>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定性</w:t>
            </w:r>
          </w:p>
        </w:tc>
        <w:tc>
          <w:tcPr>
            <w:tcW w:w="113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有效提升</w:t>
            </w:r>
          </w:p>
        </w:tc>
        <w:tc>
          <w:tcPr>
            <w:tcW w:w="82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rPr>
              <w:t>建设美丽湖堤</w:t>
            </w:r>
          </w:p>
        </w:tc>
        <w:tc>
          <w:tcPr>
            <w:tcW w:w="113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定性</w:t>
            </w:r>
          </w:p>
        </w:tc>
        <w:tc>
          <w:tcPr>
            <w:tcW w:w="1134" w:type="dxa"/>
            <w:tcBorders>
              <w:top w:val="nil"/>
              <w:left w:val="nil"/>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有效加强</w:t>
            </w:r>
          </w:p>
        </w:tc>
        <w:tc>
          <w:tcPr>
            <w:tcW w:w="82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rPr>
              <w:t>加快湖堤标准化建设</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rPr>
              <w:t>　</w:t>
            </w:r>
            <w:r>
              <w:rPr>
                <w:rFonts w:hint="eastAsia" w:ascii="仿宋_GB2312" w:hAnsi="仿宋_GB2312" w:eastAsia="仿宋_GB2312" w:cs="仿宋_GB2312"/>
                <w:color w:val="000000"/>
                <w:sz w:val="20"/>
                <w:szCs w:val="20"/>
                <w:lang w:eastAsia="zh-CN"/>
              </w:rPr>
              <w:t>效果显著</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效果显著</w:t>
            </w:r>
          </w:p>
        </w:tc>
        <w:tc>
          <w:tcPr>
            <w:tcW w:w="82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24"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群众满意度</w:t>
            </w:r>
          </w:p>
        </w:tc>
        <w:tc>
          <w:tcPr>
            <w:tcW w:w="1134"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rPr>
              <w:t>≥</w:t>
            </w:r>
            <w:r>
              <w:rPr>
                <w:rFonts w:hint="eastAsia" w:ascii="仿宋_GB2312" w:hAnsi="仿宋_GB2312" w:eastAsia="仿宋_GB2312" w:cs="仿宋_GB2312"/>
                <w:color w:val="000000"/>
                <w:sz w:val="20"/>
                <w:szCs w:val="20"/>
                <w:highlight w:val="none"/>
                <w:lang w:val="en-US" w:eastAsia="zh-CN"/>
              </w:rPr>
              <w:t>90%</w:t>
            </w:r>
          </w:p>
        </w:tc>
        <w:tc>
          <w:tcPr>
            <w:tcW w:w="1134"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rPr>
              <w:t>≥</w:t>
            </w:r>
            <w:r>
              <w:rPr>
                <w:rFonts w:hint="eastAsia" w:ascii="仿宋_GB2312" w:hAnsi="仿宋_GB2312" w:eastAsia="仿宋_GB2312" w:cs="仿宋_GB2312"/>
                <w:color w:val="000000"/>
                <w:sz w:val="20"/>
                <w:szCs w:val="20"/>
                <w:highlight w:val="none"/>
                <w:lang w:val="en-US" w:eastAsia="zh-CN"/>
              </w:rPr>
              <w:t>90%</w:t>
            </w:r>
          </w:p>
        </w:tc>
        <w:tc>
          <w:tcPr>
            <w:tcW w:w="828"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无偏差</w:t>
            </w:r>
          </w:p>
        </w:tc>
      </w:tr>
      <w:tr>
        <w:tblPrEx>
          <w:tblCellMar>
            <w:top w:w="0" w:type="dxa"/>
            <w:left w:w="108" w:type="dxa"/>
            <w:bottom w:w="0" w:type="dxa"/>
            <w:right w:w="108" w:type="dxa"/>
          </w:tblCellMar>
        </w:tblPrEx>
        <w:trPr>
          <w:jc w:val="center"/>
        </w:trPr>
        <w:tc>
          <w:tcPr>
            <w:tcW w:w="6732" w:type="dxa"/>
            <w:gridSpan w:val="6"/>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82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98</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rPr>
          <w:rFonts w:hint="default" w:ascii="Times New Roman" w:hAnsi="Times New Roman" w:eastAsia="仿宋_GB2312" w:cs="Times New Roman"/>
          <w:sz w:val="18"/>
          <w:szCs w:val="18"/>
          <w:highlight w:val="none"/>
        </w:rPr>
      </w:pPr>
    </w:p>
    <w:p>
      <w:pPr>
        <w:rPr>
          <w:rFonts w:hint="default" w:ascii="Times New Roman" w:hAnsi="Times New Roman" w:eastAsia="仿宋_GB2312" w:cs="Times New Roman"/>
          <w:szCs w:val="21"/>
          <w:highlight w:val="none"/>
        </w:rPr>
      </w:pPr>
      <w:r>
        <w:rPr>
          <w:rFonts w:hint="default" w:ascii="Times New Roman" w:hAnsi="Times New Roman" w:eastAsia="仿宋_GB2312" w:cs="Times New Roman"/>
          <w:sz w:val="18"/>
          <w:szCs w:val="18"/>
          <w:highlight w:val="none"/>
        </w:rPr>
        <w:t>备注：一个一级项目支出一张表。</w:t>
      </w:r>
      <w:r>
        <w:rPr>
          <w:rFonts w:hint="eastAsia" w:ascii="Times New Roman" w:hAnsi="Times New Roman" w:eastAsia="仿宋_GB2312" w:cs="Times New Roman"/>
          <w:sz w:val="18"/>
          <w:szCs w:val="18"/>
          <w:highlight w:val="none"/>
          <w:lang w:eastAsia="zh-CN"/>
        </w:rPr>
        <w:t>如，</w:t>
      </w:r>
      <w:r>
        <w:rPr>
          <w:rFonts w:hint="default" w:ascii="Times New Roman" w:hAnsi="Times New Roman" w:eastAsia="仿宋_GB2312" w:cs="Times New Roman"/>
          <w:sz w:val="18"/>
          <w:szCs w:val="18"/>
          <w:highlight w:val="none"/>
        </w:rPr>
        <w:t>业务工作经费</w:t>
      </w:r>
      <w:r>
        <w:rPr>
          <w:rFonts w:hint="eastAsia" w:ascii="Times New Roman" w:hAnsi="Times New Roman" w:eastAsia="仿宋_GB2312" w:cs="Times New Roman"/>
          <w:sz w:val="18"/>
          <w:szCs w:val="18"/>
          <w:highlight w:val="none"/>
          <w:lang w:eastAsia="zh-CN"/>
        </w:rPr>
        <w:t>，</w:t>
      </w:r>
      <w:r>
        <w:rPr>
          <w:rFonts w:hint="default" w:ascii="Times New Roman" w:hAnsi="Times New Roman" w:eastAsia="仿宋_GB2312" w:cs="Times New Roman"/>
          <w:sz w:val="18"/>
          <w:szCs w:val="18"/>
          <w:highlight w:val="none"/>
        </w:rPr>
        <w:t>运行维护经费</w:t>
      </w:r>
      <w:r>
        <w:rPr>
          <w:rFonts w:hint="eastAsia" w:ascii="Times New Roman" w:hAnsi="Times New Roman" w:eastAsia="仿宋_GB2312" w:cs="Times New Roman"/>
          <w:sz w:val="18"/>
          <w:szCs w:val="18"/>
          <w:highlight w:val="none"/>
          <w:lang w:eastAsia="zh-CN"/>
        </w:rPr>
        <w:t>，其他事业发展类资金…各一张表。</w:t>
      </w:r>
    </w:p>
    <w:p>
      <w:pPr>
        <w:widowControl/>
        <w:spacing w:line="600" w:lineRule="exact"/>
        <w:jc w:val="left"/>
        <w:rPr>
          <w:rFonts w:hint="eastAsia" w:ascii="黑体" w:hAnsi="黑体" w:eastAsia="黑体" w:cs="黑体"/>
          <w:sz w:val="32"/>
          <w:szCs w:val="32"/>
          <w:highlight w:val="none"/>
        </w:rPr>
      </w:pPr>
      <w:r>
        <w:rPr>
          <w:rFonts w:hint="default" w:ascii="Times New Roman" w:hAnsi="Times New Roman" w:eastAsia="仿宋_GB2312" w:cs="Times New Roman"/>
          <w:sz w:val="22"/>
          <w:szCs w:val="22"/>
          <w:highlight w:val="none"/>
        </w:rPr>
        <w:t xml:space="preserve">填表人：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填报日期：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联系电话：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 单位负责人签字：</w:t>
      </w:r>
      <w:r>
        <w:rPr>
          <w:rFonts w:hint="default" w:ascii="Times New Roman" w:hAnsi="Times New Roman" w:eastAsia="仿宋_GB2312" w:cs="Times New Roman"/>
          <w:sz w:val="22"/>
          <w:szCs w:val="22"/>
          <w:highlight w:val="none"/>
        </w:rPr>
        <w:br w:type="page"/>
      </w:r>
    </w:p>
    <w:p>
      <w:pPr>
        <w:keepNext w:val="0"/>
        <w:keepLines w:val="0"/>
        <w:pageBreakBefore w:val="0"/>
        <w:widowControl/>
        <w:kinsoku/>
        <w:wordWrap/>
        <w:overflowPunct/>
        <w:topLinePunct w:val="0"/>
        <w:autoSpaceDE/>
        <w:autoSpaceDN/>
        <w:bidi w:val="0"/>
        <w:adjustRightInd/>
        <w:snapToGrid/>
        <w:spacing w:line="640" w:lineRule="exact"/>
        <w:jc w:val="both"/>
        <w:textAlignment w:val="auto"/>
        <w:rPr>
          <w:rFonts w:hint="default" w:ascii="黑体" w:hAnsi="黑体" w:eastAsia="黑体" w:cs="黑体"/>
          <w:sz w:val="32"/>
          <w:szCs w:val="32"/>
          <w:highlight w:val="none"/>
          <w:lang w:val="en-US"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4</w:t>
      </w:r>
    </w:p>
    <w:p>
      <w:pPr>
        <w:spacing w:before="120" w:beforeLines="50" w:after="120" w:afterLines="50"/>
        <w:jc w:val="center"/>
        <w:rPr>
          <w:rFonts w:hint="eastAsia" w:ascii="方正小标宋简体" w:hAnsi="方正小标宋简体" w:eastAsia="方正小标宋简体" w:cs="方正小标宋简体"/>
          <w:spacing w:val="-6"/>
          <w:sz w:val="36"/>
          <w:szCs w:val="36"/>
          <w:highlight w:val="none"/>
        </w:rPr>
      </w:pPr>
      <w:r>
        <w:rPr>
          <w:rFonts w:hint="eastAsia" w:ascii="方正小标宋简体" w:hAnsi="方正小标宋简体" w:eastAsia="方正小标宋简体" w:cs="方正小标宋简体"/>
          <w:sz w:val="36"/>
          <w:szCs w:val="36"/>
          <w:highlight w:val="none"/>
        </w:rPr>
        <w:t>部门整体支出</w:t>
      </w:r>
      <w:r>
        <w:rPr>
          <w:rFonts w:hint="eastAsia" w:ascii="方正小标宋简体" w:hAnsi="方正小标宋简体" w:eastAsia="方正小标宋简体" w:cs="方正小标宋简体"/>
          <w:spacing w:val="-6"/>
          <w:sz w:val="36"/>
          <w:szCs w:val="36"/>
          <w:highlight w:val="none"/>
        </w:rPr>
        <w:t>绩效自评工作考核评分表</w:t>
      </w:r>
    </w:p>
    <w:tbl>
      <w:tblPr>
        <w:tblStyle w:val="4"/>
        <w:tblW w:w="9941" w:type="dxa"/>
        <w:jc w:val="center"/>
        <w:tblLayout w:type="fixed"/>
        <w:tblCellMar>
          <w:top w:w="0" w:type="dxa"/>
          <w:left w:w="108" w:type="dxa"/>
          <w:bottom w:w="0" w:type="dxa"/>
          <w:right w:w="108" w:type="dxa"/>
        </w:tblCellMar>
      </w:tblPr>
      <w:tblGrid>
        <w:gridCol w:w="745"/>
        <w:gridCol w:w="1174"/>
        <w:gridCol w:w="5000"/>
        <w:gridCol w:w="3022"/>
      </w:tblGrid>
      <w:tr>
        <w:tblPrEx>
          <w:tblCellMar>
            <w:top w:w="0" w:type="dxa"/>
            <w:left w:w="108" w:type="dxa"/>
            <w:bottom w:w="0" w:type="dxa"/>
            <w:right w:w="108" w:type="dxa"/>
          </w:tblCellMar>
        </w:tblPrEx>
        <w:trPr>
          <w:tblHeader/>
          <w:jc w:val="center"/>
        </w:trPr>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一级指标</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二级指标</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评分标准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黑体" w:cs="Times New Roman"/>
                <w:bCs/>
                <w:sz w:val="21"/>
                <w:szCs w:val="21"/>
                <w:highlight w:val="none"/>
              </w:rPr>
            </w:pPr>
            <w:r>
              <w:rPr>
                <w:rFonts w:hint="default" w:ascii="Times New Roman" w:hAnsi="Times New Roman" w:eastAsia="黑体" w:cs="Times New Roman"/>
                <w:bCs/>
                <w:sz w:val="21"/>
                <w:szCs w:val="21"/>
                <w:highlight w:val="none"/>
              </w:rPr>
              <w:t>所需佐证材料</w:t>
            </w:r>
          </w:p>
        </w:tc>
      </w:tr>
      <w:tr>
        <w:tblPrEx>
          <w:tblCellMar>
            <w:top w:w="0" w:type="dxa"/>
            <w:left w:w="108" w:type="dxa"/>
            <w:bottom w:w="0" w:type="dxa"/>
            <w:right w:w="108" w:type="dxa"/>
          </w:tblCellMar>
        </w:tblPrEx>
        <w:trPr>
          <w:jc w:val="center"/>
        </w:trPr>
        <w:tc>
          <w:tcPr>
            <w:tcW w:w="7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布置工作</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1174" w:type="dxa"/>
            <w:tcBorders>
              <w:top w:val="single" w:color="auto" w:sz="4" w:space="0"/>
              <w:left w:val="nil"/>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自评通知</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（8分）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印发绩效自评通知的得2分，否则不得分。</w:t>
            </w:r>
          </w:p>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按照本规程规定，绩效自评通知包括自评范围、自评主要依据、自评主要内容、自评程序和步骤、有关要求等内容，并附有本通知要求的附件的，得6分；否则缺1项扣1分，最多扣6分。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绩效自评通知盖章的电子版</w:t>
            </w:r>
          </w:p>
        </w:tc>
      </w:tr>
      <w:tr>
        <w:tblPrEx>
          <w:tblCellMar>
            <w:top w:w="0" w:type="dxa"/>
            <w:left w:w="108" w:type="dxa"/>
            <w:bottom w:w="0" w:type="dxa"/>
            <w:right w:w="108" w:type="dxa"/>
          </w:tblCellMar>
        </w:tblPrEx>
        <w:trPr>
          <w:jc w:val="center"/>
        </w:trPr>
        <w:tc>
          <w:tcPr>
            <w:tcW w:w="745" w:type="dxa"/>
            <w:vMerge w:val="continue"/>
            <w:tcBorders>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工作小组</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成立绩效自评工作小组的得2分，否则不得分。</w:t>
            </w:r>
          </w:p>
        </w:tc>
        <w:tc>
          <w:tcPr>
            <w:tcW w:w="3022"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本部门、本单位预算绩效管理领导小组</w:t>
            </w:r>
            <w:r>
              <w:rPr>
                <w:rFonts w:hint="default" w:ascii="Times New Roman" w:hAnsi="Times New Roman" w:eastAsia="仿宋_GB2312" w:cs="Times New Roman"/>
                <w:spacing w:val="0"/>
                <w:sz w:val="20"/>
                <w:szCs w:val="20"/>
                <w:highlight w:val="none"/>
                <w:lang w:val="en-US" w:eastAsia="zh-CN"/>
              </w:rPr>
              <w:t>/</w:t>
            </w:r>
            <w:r>
              <w:rPr>
                <w:rFonts w:hint="default" w:ascii="Times New Roman" w:hAnsi="Times New Roman" w:eastAsia="仿宋_GB2312" w:cs="Times New Roman"/>
                <w:sz w:val="20"/>
                <w:szCs w:val="20"/>
                <w:highlight w:val="none"/>
              </w:rPr>
              <w:t>绩效评价工作小组</w:t>
            </w:r>
            <w:r>
              <w:rPr>
                <w:rFonts w:hint="default" w:ascii="Times New Roman" w:hAnsi="Times New Roman" w:eastAsia="仿宋_GB2312" w:cs="Times New Roman"/>
                <w:sz w:val="20"/>
                <w:szCs w:val="20"/>
                <w:highlight w:val="none"/>
                <w:lang w:eastAsia="zh-CN"/>
              </w:rPr>
              <w:t>有关</w:t>
            </w:r>
            <w:r>
              <w:rPr>
                <w:rFonts w:hint="default" w:ascii="Times New Roman" w:hAnsi="Times New Roman" w:eastAsia="仿宋_GB2312" w:cs="Times New Roman"/>
                <w:spacing w:val="0"/>
                <w:sz w:val="20"/>
                <w:szCs w:val="20"/>
                <w:highlight w:val="none"/>
              </w:rPr>
              <w:t>文件</w:t>
            </w:r>
            <w:r>
              <w:rPr>
                <w:rFonts w:hint="default" w:ascii="Times New Roman" w:hAnsi="Times New Roman" w:eastAsia="仿宋_GB2312" w:cs="Times New Roman"/>
                <w:sz w:val="20"/>
                <w:szCs w:val="20"/>
                <w:highlight w:val="none"/>
              </w:rPr>
              <w:t>盖章的电子版</w:t>
            </w:r>
          </w:p>
        </w:tc>
      </w:tr>
      <w:tr>
        <w:tblPrEx>
          <w:tblCellMar>
            <w:top w:w="0" w:type="dxa"/>
            <w:left w:w="108" w:type="dxa"/>
            <w:bottom w:w="0" w:type="dxa"/>
            <w:right w:w="108" w:type="dxa"/>
          </w:tblCellMar>
        </w:tblPrEx>
        <w:trPr>
          <w:jc w:val="center"/>
        </w:trPr>
        <w:tc>
          <w:tcPr>
            <w:tcW w:w="745" w:type="dxa"/>
            <w:vMerge w:val="restart"/>
            <w:tcBorders>
              <w:top w:val="single" w:color="auto" w:sz="4" w:space="0"/>
              <w:left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实施评价</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单位自查</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5000" w:type="dxa"/>
            <w:tcBorders>
              <w:top w:val="single" w:color="auto" w:sz="4" w:space="0"/>
              <w:left w:val="nil"/>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r>
              <w:rPr>
                <w:rFonts w:hint="eastAsia" w:ascii="Times New Roman" w:hAnsi="Times New Roman" w:eastAsia="仿宋_GB2312" w:cs="Times New Roman"/>
                <w:sz w:val="20"/>
                <w:szCs w:val="20"/>
                <w:highlight w:val="none"/>
                <w:lang w:eastAsia="zh-CN"/>
              </w:rPr>
              <w:t>市级</w:t>
            </w:r>
            <w:r>
              <w:rPr>
                <w:rFonts w:hint="default" w:ascii="Times New Roman" w:hAnsi="Times New Roman" w:eastAsia="仿宋_GB2312" w:cs="Times New Roman"/>
                <w:sz w:val="20"/>
                <w:szCs w:val="20"/>
                <w:highlight w:val="none"/>
              </w:rPr>
              <w:t>预算部门本级和所属单位都要开展绩效自查，转移支付项目单位都要开展绩效自查，</w:t>
            </w:r>
            <w:r>
              <w:rPr>
                <w:rFonts w:hint="eastAsia" w:ascii="Times New Roman" w:hAnsi="Times New Roman" w:eastAsia="仿宋_GB2312" w:cs="Times New Roman"/>
                <w:sz w:val="20"/>
                <w:szCs w:val="20"/>
                <w:highlight w:val="none"/>
                <w:lang w:eastAsia="zh-CN"/>
              </w:rPr>
              <w:t>县、区</w:t>
            </w:r>
            <w:r>
              <w:rPr>
                <w:rFonts w:hint="default" w:ascii="Times New Roman" w:hAnsi="Times New Roman" w:eastAsia="仿宋_GB2312" w:cs="Times New Roman"/>
                <w:sz w:val="20"/>
                <w:szCs w:val="20"/>
                <w:highlight w:val="none"/>
              </w:rPr>
              <w:t>级主管部门都要汇总本区域转移支付情况；以上各项每发现一个单位没有做相应工作的，扣1分，最多扣10分。</w:t>
            </w:r>
          </w:p>
        </w:tc>
        <w:tc>
          <w:tcPr>
            <w:tcW w:w="3022" w:type="dxa"/>
            <w:tcBorders>
              <w:top w:val="single" w:color="auto" w:sz="4" w:space="0"/>
              <w:left w:val="nil"/>
              <w:bottom w:val="single" w:color="auto" w:sz="4" w:space="0"/>
              <w:right w:val="single" w:color="auto" w:sz="4" w:space="0"/>
            </w:tcBorders>
            <w:noWrap w:val="0"/>
            <w:vAlign w:val="center"/>
          </w:tcPr>
          <w:p>
            <w:pPr>
              <w:numPr>
                <w:ilvl w:val="0"/>
                <w:numId w:val="7"/>
              </w:num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转移支付项目单位名称和资</w:t>
            </w:r>
            <w:r>
              <w:rPr>
                <w:rFonts w:hint="eastAsia" w:ascii="Times New Roman" w:hAnsi="Times New Roman" w:eastAsia="仿宋_GB2312" w:cs="Times New Roman"/>
                <w:sz w:val="20"/>
                <w:szCs w:val="20"/>
                <w:highlight w:val="none"/>
                <w:lang w:val="en-US" w:eastAsia="zh-CN"/>
              </w:rPr>
              <w:t xml:space="preserve"> </w:t>
            </w:r>
            <w:r>
              <w:rPr>
                <w:rFonts w:hint="default" w:ascii="Times New Roman" w:hAnsi="Times New Roman" w:eastAsia="仿宋_GB2312" w:cs="Times New Roman"/>
                <w:sz w:val="20"/>
                <w:szCs w:val="20"/>
                <w:highlight w:val="none"/>
              </w:rPr>
              <w:t>金情况清单</w:t>
            </w:r>
          </w:p>
          <w:p>
            <w:pPr>
              <w:numPr>
                <w:ilvl w:val="0"/>
                <w:numId w:val="7"/>
              </w:numPr>
              <w:spacing w:line="300" w:lineRule="exac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有转移支付资金的各</w:t>
            </w:r>
            <w:r>
              <w:rPr>
                <w:rFonts w:hint="eastAsia" w:ascii="Times New Roman" w:hAnsi="Times New Roman" w:eastAsia="仿宋_GB2312" w:cs="Times New Roman"/>
                <w:sz w:val="20"/>
                <w:szCs w:val="20"/>
                <w:highlight w:val="none"/>
                <w:lang w:eastAsia="zh-CN"/>
              </w:rPr>
              <w:t>县区</w:t>
            </w:r>
            <w:r>
              <w:rPr>
                <w:rFonts w:hint="default" w:ascii="Times New Roman" w:hAnsi="Times New Roman" w:eastAsia="仿宋_GB2312" w:cs="Times New Roman"/>
                <w:sz w:val="20"/>
                <w:szCs w:val="20"/>
                <w:highlight w:val="none"/>
              </w:rPr>
              <w:t>主管部门汇总情况的盖章PDF版　</w:t>
            </w:r>
          </w:p>
        </w:tc>
      </w:tr>
      <w:tr>
        <w:tblPrEx>
          <w:tblCellMar>
            <w:top w:w="0" w:type="dxa"/>
            <w:left w:w="108" w:type="dxa"/>
            <w:bottom w:w="0" w:type="dxa"/>
            <w:right w:w="108" w:type="dxa"/>
          </w:tblCellMar>
        </w:tblPrEx>
        <w:trPr>
          <w:jc w:val="center"/>
        </w:trPr>
        <w:tc>
          <w:tcPr>
            <w:tcW w:w="745" w:type="dxa"/>
            <w:vMerge w:val="continue"/>
            <w:tcBorders>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nil"/>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提交报告</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（10分）</w:t>
            </w:r>
          </w:p>
        </w:tc>
        <w:tc>
          <w:tcPr>
            <w:tcW w:w="8022" w:type="dxa"/>
            <w:gridSpan w:val="2"/>
            <w:tcBorders>
              <w:top w:val="nil"/>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按时向</w:t>
            </w:r>
            <w:r>
              <w:rPr>
                <w:rFonts w:hint="eastAsia" w:ascii="Times New Roman" w:hAnsi="Times New Roman" w:eastAsia="仿宋_GB2312" w:cs="Times New Roman"/>
                <w:sz w:val="20"/>
                <w:szCs w:val="20"/>
                <w:highlight w:val="none"/>
                <w:lang w:eastAsia="zh-CN"/>
              </w:rPr>
              <w:t>市财政局</w:t>
            </w:r>
            <w:r>
              <w:rPr>
                <w:rFonts w:hint="default" w:ascii="Times New Roman" w:hAnsi="Times New Roman" w:eastAsia="仿宋_GB2312" w:cs="Times New Roman"/>
                <w:sz w:val="20"/>
                <w:szCs w:val="20"/>
                <w:highlight w:val="none"/>
              </w:rPr>
              <w:t>报送报告的得10分；每推迟一个工作日报送报告的扣1分，最多扣10分。</w:t>
            </w:r>
          </w:p>
        </w:tc>
      </w:tr>
      <w:tr>
        <w:tblPrEx>
          <w:tblCellMar>
            <w:top w:w="0" w:type="dxa"/>
            <w:left w:w="108" w:type="dxa"/>
            <w:bottom w:w="0" w:type="dxa"/>
            <w:right w:w="108" w:type="dxa"/>
          </w:tblCellMar>
        </w:tblPrEx>
        <w:trPr>
          <w:trHeight w:val="740" w:hRule="atLeast"/>
          <w:jc w:val="center"/>
        </w:trPr>
        <w:tc>
          <w:tcPr>
            <w:tcW w:w="74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自评报告</w:t>
            </w:r>
          </w:p>
          <w:p>
            <w:pPr>
              <w:spacing w:line="300" w:lineRule="exact"/>
              <w:jc w:val="center"/>
              <w:rPr>
                <w:rFonts w:hint="default" w:ascii="Times New Roman" w:hAnsi="Times New Roman" w:eastAsia="仿宋_GB2312" w:cs="Times New Roman"/>
                <w:sz w:val="20"/>
                <w:szCs w:val="20"/>
                <w:highlight w:val="none"/>
              </w:rPr>
            </w:pP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70分</w:t>
            </w: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完整性</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（15分）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绩效自评报告正文部分内容齐全的，得8分；否则每少一个部分扣2分，最多扣8分。</w:t>
            </w:r>
          </w:p>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绩效自评报告附件部分内容齐全的，得7分；否则每少一个部分扣2分，最多扣7分。</w:t>
            </w:r>
          </w:p>
        </w:tc>
      </w:tr>
      <w:tr>
        <w:tblPrEx>
          <w:tblCellMar>
            <w:top w:w="0" w:type="dxa"/>
            <w:left w:w="108" w:type="dxa"/>
            <w:bottom w:w="0" w:type="dxa"/>
            <w:right w:w="108" w:type="dxa"/>
          </w:tblCellMar>
        </w:tblPrEx>
        <w:trPr>
          <w:trHeight w:val="2143"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绩效</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自评表</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1、部门整体支出和项目支出绩效指标反映产出、效益、服务对象满意度方面的指标和预算执行率的权重符合《</w:t>
            </w:r>
            <w:r>
              <w:rPr>
                <w:rFonts w:hint="eastAsia" w:ascii="Times New Roman" w:hAnsi="Times New Roman" w:eastAsia="仿宋_GB2312" w:cs="Times New Roman"/>
                <w:sz w:val="20"/>
                <w:szCs w:val="20"/>
                <w:highlight w:val="none"/>
                <w:lang w:eastAsia="zh-CN"/>
              </w:rPr>
              <w:t>岳阳市市级</w:t>
            </w:r>
            <w:r>
              <w:rPr>
                <w:rFonts w:hint="default" w:ascii="Times New Roman" w:hAnsi="Times New Roman" w:eastAsia="仿宋_GB2312" w:cs="Times New Roman"/>
                <w:sz w:val="20"/>
                <w:szCs w:val="20"/>
                <w:highlight w:val="none"/>
              </w:rPr>
              <w:t>预算部门绩效自评操作规程》要求的，得5分，否则按比例扣除相应的分数。</w:t>
            </w:r>
          </w:p>
          <w:p>
            <w:pPr>
              <w:spacing w:line="240" w:lineRule="auto"/>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部门整体支出和项目支出绩效指标全部细化到三级指标的，得5分；部分细化的，酌情扣分；没有细化的，不得分。</w:t>
            </w:r>
          </w:p>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3</w:t>
            </w:r>
            <w:r>
              <w:rPr>
                <w:rFonts w:hint="eastAsia" w:ascii="Times New Roman" w:hAnsi="Times New Roman" w:eastAsia="仿宋_GB2312" w:cs="Times New Roman"/>
                <w:sz w:val="20"/>
                <w:szCs w:val="20"/>
                <w:highlight w:val="none"/>
                <w:lang w:val="en-US" w:eastAsia="zh-CN"/>
              </w:rPr>
              <w:t>.</w:t>
            </w:r>
            <w:r>
              <w:rPr>
                <w:rFonts w:hint="default" w:ascii="Times New Roman" w:hAnsi="Times New Roman" w:eastAsia="仿宋_GB2312" w:cs="Times New Roman"/>
                <w:sz w:val="20"/>
                <w:szCs w:val="20"/>
                <w:highlight w:val="none"/>
              </w:rPr>
              <w:t>部门整体支出和项目支出三级绩效指标内涵明确、具体、可衡量的得5分；突出核心指标，精简实用的得3分；指标与部门整体支出和项目支出密切相关，全面反映产出和效益的得2分；否则，每项酌情扣分，最多扣10分。</w:t>
            </w:r>
          </w:p>
        </w:tc>
      </w:tr>
      <w:tr>
        <w:tblPrEx>
          <w:tblCellMar>
            <w:top w:w="0" w:type="dxa"/>
            <w:left w:w="108" w:type="dxa"/>
            <w:bottom w:w="0" w:type="dxa"/>
            <w:right w:w="108" w:type="dxa"/>
          </w:tblCellMar>
        </w:tblPrEx>
        <w:trPr>
          <w:trHeight w:val="1197"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highlight w:val="none"/>
              </w:rPr>
            </w:pPr>
          </w:p>
          <w:p>
            <w:pPr>
              <w:spacing w:line="240" w:lineRule="auto"/>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反映问</w:t>
            </w:r>
          </w:p>
          <w:p>
            <w:pPr>
              <w:spacing w:line="240" w:lineRule="auto"/>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题情况</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（20分）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从预算和预算绩效管理，部门履职效能，资金分配、使用和管理，资产和财务管理，政府采购等方面归纳问题、分析原因全面的，得20分；反映问题、分析原因较全面的，得16—18分；反映问题、分析原因不全面的，得13—15分；问题未归纳且过于简单的，得10—12分；只提出资金不足问题的不得分；其他情况酌情扣分。　</w:t>
            </w:r>
          </w:p>
        </w:tc>
      </w:tr>
      <w:tr>
        <w:tblPrEx>
          <w:tblCellMar>
            <w:top w:w="0" w:type="dxa"/>
            <w:left w:w="108" w:type="dxa"/>
            <w:bottom w:w="0" w:type="dxa"/>
            <w:right w:w="108" w:type="dxa"/>
          </w:tblCellMar>
        </w:tblPrEx>
        <w:trPr>
          <w:trHeight w:val="627" w:hRule="atLeast"/>
          <w:jc w:val="center"/>
        </w:trPr>
        <w:tc>
          <w:tcPr>
            <w:tcW w:w="74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rPr>
            </w:pPr>
          </w:p>
        </w:tc>
        <w:tc>
          <w:tcPr>
            <w:tcW w:w="1174"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建议情况</w:t>
            </w:r>
          </w:p>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（15分）</w:t>
            </w:r>
          </w:p>
        </w:tc>
        <w:tc>
          <w:tcPr>
            <w:tcW w:w="8022" w:type="dxa"/>
            <w:gridSpan w:val="2"/>
            <w:tcBorders>
              <w:top w:val="single" w:color="auto" w:sz="4" w:space="0"/>
              <w:left w:val="nil"/>
              <w:bottom w:val="single" w:color="auto" w:sz="4" w:space="0"/>
              <w:right w:val="single" w:color="auto" w:sz="4" w:space="0"/>
            </w:tcBorders>
            <w:noWrap w:val="0"/>
            <w:vAlign w:val="center"/>
          </w:tcPr>
          <w:p>
            <w:pPr>
              <w:spacing w:line="240" w:lineRule="auto"/>
              <w:jc w:val="left"/>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建议与问题对应且全面的得15分，建议比较全面的得12—14分，建议不全面的得9—11分，建议过于简单的得6—8分，只提出加大资金投入建议的不得分；其他情况酌情扣分。</w:t>
            </w:r>
          </w:p>
        </w:tc>
      </w:tr>
      <w:tr>
        <w:tblPrEx>
          <w:tblCellMar>
            <w:top w:w="0" w:type="dxa"/>
            <w:left w:w="108" w:type="dxa"/>
            <w:bottom w:w="0" w:type="dxa"/>
            <w:right w:w="108" w:type="dxa"/>
          </w:tblCellMar>
        </w:tblPrEx>
        <w:trPr>
          <w:trHeight w:val="495" w:hRule="atLeast"/>
          <w:jc w:val="center"/>
        </w:trPr>
        <w:tc>
          <w:tcPr>
            <w:tcW w:w="7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合计</w:t>
            </w: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default" w:ascii="Times New Roman" w:hAnsi="Times New Roman" w:eastAsia="仿宋_GB2312" w:cs="Times New Roman"/>
                <w:sz w:val="20"/>
                <w:szCs w:val="20"/>
                <w:highlight w:val="none"/>
              </w:rPr>
            </w:pPr>
            <w:r>
              <w:rPr>
                <w:rFonts w:hint="default" w:ascii="Times New Roman" w:hAnsi="Times New Roman" w:eastAsia="仿宋_GB2312" w:cs="Times New Roman"/>
                <w:sz w:val="20"/>
                <w:szCs w:val="20"/>
                <w:highlight w:val="none"/>
              </w:rPr>
              <w:t>100分</w:t>
            </w:r>
          </w:p>
        </w:tc>
        <w:tc>
          <w:tcPr>
            <w:tcW w:w="8022"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hint="default" w:ascii="Times New Roman" w:hAnsi="Times New Roman" w:eastAsia="仿宋_GB2312" w:cs="Times New Roman"/>
                <w:sz w:val="20"/>
                <w:szCs w:val="20"/>
                <w:highlight w:val="none"/>
                <w:lang w:val="en-US" w:eastAsia="zh-CN"/>
              </w:rPr>
            </w:pPr>
            <w:r>
              <w:rPr>
                <w:rFonts w:hint="default" w:ascii="Times New Roman" w:hAnsi="Times New Roman" w:eastAsia="仿宋_GB2312" w:cs="Times New Roman"/>
                <w:sz w:val="20"/>
                <w:szCs w:val="20"/>
                <w:highlight w:val="none"/>
              </w:rPr>
              <w:t>　</w:t>
            </w:r>
            <w:r>
              <w:rPr>
                <w:rFonts w:hint="eastAsia" w:ascii="Times New Roman" w:hAnsi="Times New Roman" w:eastAsia="仿宋_GB2312" w:cs="Times New Roman"/>
                <w:sz w:val="20"/>
                <w:szCs w:val="20"/>
                <w:highlight w:val="none"/>
                <w:lang w:val="en-US" w:eastAsia="zh-CN"/>
              </w:rPr>
              <w:t>98</w:t>
            </w:r>
          </w:p>
        </w:tc>
      </w:tr>
    </w:tbl>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eastAsia" w:ascii="仿宋_GB2312" w:hAnsi="仿宋_GB2312" w:eastAsia="仿宋_GB2312" w:cs="仿宋_GB2312"/>
          <w:sz w:val="32"/>
          <w:szCs w:val="32"/>
          <w:highlight w:val="none"/>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9E57AF"/>
    <w:multiLevelType w:val="singleLevel"/>
    <w:tmpl w:val="C19E57AF"/>
    <w:lvl w:ilvl="0" w:tentative="0">
      <w:start w:val="2"/>
      <w:numFmt w:val="chineseCounting"/>
      <w:suff w:val="nothing"/>
      <w:lvlText w:val="（%1）"/>
      <w:lvlJc w:val="left"/>
      <w:pPr>
        <w:ind w:left="-360"/>
      </w:pPr>
      <w:rPr>
        <w:rFonts w:hint="eastAsia" w:ascii="楷体" w:hAnsi="楷体" w:eastAsia="楷体" w:cs="楷体"/>
        <w:sz w:val="32"/>
        <w:szCs w:val="32"/>
      </w:rPr>
    </w:lvl>
  </w:abstractNum>
  <w:abstractNum w:abstractNumId="1">
    <w:nsid w:val="DA81C459"/>
    <w:multiLevelType w:val="singleLevel"/>
    <w:tmpl w:val="DA81C459"/>
    <w:lvl w:ilvl="0" w:tentative="0">
      <w:start w:val="2"/>
      <w:numFmt w:val="chineseCounting"/>
      <w:suff w:val="nothing"/>
      <w:lvlText w:val="（%1）"/>
      <w:lvlJc w:val="left"/>
      <w:rPr>
        <w:rFonts w:hint="eastAsia" w:ascii="楷体" w:hAnsi="楷体" w:eastAsia="楷体" w:cs="楷体"/>
        <w:sz w:val="32"/>
        <w:szCs w:val="32"/>
      </w:rPr>
    </w:lvl>
  </w:abstractNum>
  <w:abstractNum w:abstractNumId="2">
    <w:nsid w:val="1BCD131B"/>
    <w:multiLevelType w:val="singleLevel"/>
    <w:tmpl w:val="1BCD131B"/>
    <w:lvl w:ilvl="0" w:tentative="0">
      <w:start w:val="8"/>
      <w:numFmt w:val="chineseCounting"/>
      <w:suff w:val="nothing"/>
      <w:lvlText w:val="%1、"/>
      <w:lvlJc w:val="left"/>
      <w:rPr>
        <w:rFonts w:hint="eastAsia"/>
      </w:rPr>
    </w:lvl>
  </w:abstractNum>
  <w:abstractNum w:abstractNumId="3">
    <w:nsid w:val="1DD36296"/>
    <w:multiLevelType w:val="singleLevel"/>
    <w:tmpl w:val="1DD36296"/>
    <w:lvl w:ilvl="0" w:tentative="0">
      <w:start w:val="1"/>
      <w:numFmt w:val="chineseCounting"/>
      <w:suff w:val="nothing"/>
      <w:lvlText w:val="%1、"/>
      <w:lvlJc w:val="left"/>
      <w:rPr>
        <w:rFonts w:hint="eastAsia"/>
      </w:rPr>
    </w:lvl>
  </w:abstractNum>
  <w:abstractNum w:abstractNumId="4">
    <w:nsid w:val="59CC8B3D"/>
    <w:multiLevelType w:val="singleLevel"/>
    <w:tmpl w:val="59CC8B3D"/>
    <w:lvl w:ilvl="0" w:tentative="0">
      <w:start w:val="1"/>
      <w:numFmt w:val="chineseCounting"/>
      <w:suff w:val="nothing"/>
      <w:lvlText w:val="（%1）"/>
      <w:lvlJc w:val="left"/>
      <w:rPr>
        <w:rFonts w:hint="eastAsia"/>
      </w:rPr>
    </w:lvl>
  </w:abstractNum>
  <w:abstractNum w:abstractNumId="5">
    <w:nsid w:val="5DDF8822"/>
    <w:multiLevelType w:val="singleLevel"/>
    <w:tmpl w:val="5DDF8822"/>
    <w:lvl w:ilvl="0" w:tentative="0">
      <w:start w:val="1"/>
      <w:numFmt w:val="decimal"/>
      <w:suff w:val="nothing"/>
      <w:lvlText w:val="%1、"/>
      <w:lvlJc w:val="left"/>
    </w:lvl>
  </w:abstractNum>
  <w:abstractNum w:abstractNumId="6">
    <w:nsid w:val="72666873"/>
    <w:multiLevelType w:val="singleLevel"/>
    <w:tmpl w:val="72666873"/>
    <w:lvl w:ilvl="0" w:tentative="0">
      <w:start w:val="4"/>
      <w:numFmt w:val="chineseCounting"/>
      <w:suff w:val="nothing"/>
      <w:lvlText w:val="%1、"/>
      <w:lvlJc w:val="left"/>
      <w:rPr>
        <w:rFonts w:hint="eastAsia"/>
      </w:rPr>
    </w:lvl>
  </w:abstractNum>
  <w:num w:numId="1">
    <w:abstractNumId w:val="3"/>
  </w:num>
  <w:num w:numId="2">
    <w:abstractNumId w:val="4"/>
  </w:num>
  <w:num w:numId="3">
    <w:abstractNumId w:val="6"/>
  </w:num>
  <w:num w:numId="4">
    <w:abstractNumId w:val="0"/>
  </w:num>
  <w:num w:numId="5">
    <w:abstractNumId w:val="2"/>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wMmNkMDcwZjcwYzc0YmYxNGM2ODk0OTU4ZWM3ZDYifQ=="/>
  </w:docVars>
  <w:rsids>
    <w:rsidRoot w:val="59886344"/>
    <w:rsid w:val="0A467A21"/>
    <w:rsid w:val="0E710FB3"/>
    <w:rsid w:val="1356560D"/>
    <w:rsid w:val="1AD81A1B"/>
    <w:rsid w:val="1CB462C1"/>
    <w:rsid w:val="1F38206B"/>
    <w:rsid w:val="22220C72"/>
    <w:rsid w:val="274176DD"/>
    <w:rsid w:val="2CB52ADF"/>
    <w:rsid w:val="2D7A1A9E"/>
    <w:rsid w:val="2E114AFB"/>
    <w:rsid w:val="36C93C0A"/>
    <w:rsid w:val="3A0164D6"/>
    <w:rsid w:val="3CAC7C7D"/>
    <w:rsid w:val="3CE26112"/>
    <w:rsid w:val="3DD57CCC"/>
    <w:rsid w:val="49C65963"/>
    <w:rsid w:val="4B5B6BCB"/>
    <w:rsid w:val="52CE75CF"/>
    <w:rsid w:val="55004DFD"/>
    <w:rsid w:val="58670CF0"/>
    <w:rsid w:val="597B2CA5"/>
    <w:rsid w:val="59886344"/>
    <w:rsid w:val="5A5A0E47"/>
    <w:rsid w:val="5C5A0BD2"/>
    <w:rsid w:val="5CCD6BA5"/>
    <w:rsid w:val="5CF9234B"/>
    <w:rsid w:val="6516562F"/>
    <w:rsid w:val="6684666A"/>
    <w:rsid w:val="66954A48"/>
    <w:rsid w:val="66D77B48"/>
    <w:rsid w:val="68193552"/>
    <w:rsid w:val="6AD037C8"/>
    <w:rsid w:val="70C62A07"/>
    <w:rsid w:val="7A050594"/>
    <w:rsid w:val="DFEF8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 w:hAnsi="仿宋" w:eastAsia="宋体" w:cs="Times New Roman"/>
      <w:kern w:val="0"/>
      <w:sz w:val="28"/>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6">
    <w:name w:val="列出段落1"/>
    <w:basedOn w:val="1"/>
    <w:qFormat/>
    <w:uiPriority w:val="34"/>
    <w:pPr>
      <w:ind w:firstLine="420" w:firstLineChars="200"/>
    </w:pPr>
  </w:style>
  <w:style w:type="paragraph" w:styleId="7">
    <w:name w:val="List Paragraph"/>
    <w:basedOn w:val="1"/>
    <w:qFormat/>
    <w:uiPriority w:val="99"/>
    <w:pPr>
      <w:ind w:firstLine="420" w:firstLineChars="200"/>
    </w:pPr>
    <w:rPr>
      <w:rFonts w:ascii="Calibri" w:hAnsi="Calibri"/>
      <w:szCs w:val="22"/>
    </w:rPr>
  </w:style>
  <w:style w:type="paragraph" w:customStyle="1" w:styleId="8">
    <w:name w:val="Normal_0"/>
    <w:unhideWhenUsed/>
    <w:qFormat/>
    <w:uiPriority w:val="0"/>
    <w:pPr>
      <w:spacing w:before="120" w:beforeLines="0" w:after="240" w:afterLines="0"/>
      <w:jc w:val="both"/>
    </w:pPr>
    <w:rPr>
      <w:rFonts w:hint="default" w:ascii="Calibri" w:hAnsi="Calibri" w:eastAsia="宋体" w:cs="Times New Roman"/>
      <w:sz w:val="22"/>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5452</Words>
  <Characters>5904</Characters>
  <Lines>0</Lines>
  <Paragraphs>0</Paragraphs>
  <TotalTime>6</TotalTime>
  <ScaleCrop>false</ScaleCrop>
  <LinksUpToDate>false</LinksUpToDate>
  <CharactersWithSpaces>6063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2024-03-18T08:36:00Z</dcterms:created>
  <dc:creator>Administrator</dc:creator>
  <cp:lastModifiedBy>甜甜妈</cp:lastModifiedBy>
  <dcterms:modified xsi:type="dcterms:W3CDTF">2024-06-25T08:34:59Z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0BDAFD84E93F41E789BE8F60CD2B380B_13</vt:lpwstr>
  </property>
</Properties>
</file>