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E729944">
      <w:pP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  <w:highlight w:val="none"/>
        </w:rPr>
        <w:t>附件</w:t>
      </w:r>
      <w:r>
        <w:rPr>
          <w:rFonts w:hint="eastAsia" w:ascii="黑体" w:hAnsi="黑体" w:eastAsia="黑体" w:cs="黑体"/>
          <w:sz w:val="32"/>
          <w:szCs w:val="32"/>
          <w:highlight w:val="none"/>
          <w:lang w:val="en-US" w:eastAsia="zh-CN"/>
        </w:rPr>
        <w:t>4</w:t>
      </w:r>
    </w:p>
    <w:p w14:paraId="22B3587E">
      <w:pPr>
        <w:jc w:val="center"/>
        <w:rPr>
          <w:rFonts w:hint="default" w:ascii="Times New Roman" w:hAnsi="Times New Roman" w:eastAsia="方正小标宋_GBK" w:cs="Times New Roman"/>
          <w:sz w:val="52"/>
          <w:szCs w:val="52"/>
          <w:highlight w:val="none"/>
        </w:rPr>
      </w:pPr>
    </w:p>
    <w:p w14:paraId="7D7B6A85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年度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  <w:t>岳阳市君山区人力资源和社会保障局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整体支出绩效自评报告</w:t>
      </w:r>
    </w:p>
    <w:p w14:paraId="5E1C9B6D">
      <w:pPr>
        <w:jc w:val="center"/>
        <w:rPr>
          <w:rFonts w:hint="default" w:ascii="Times New Roman" w:hAnsi="Times New Roman" w:eastAsia="方正小标宋_GBK" w:cs="Times New Roman"/>
          <w:b/>
          <w:sz w:val="52"/>
          <w:szCs w:val="52"/>
          <w:highlight w:val="none"/>
        </w:rPr>
      </w:pPr>
    </w:p>
    <w:p w14:paraId="3A3DCFF5">
      <w:pPr>
        <w:jc w:val="center"/>
        <w:rPr>
          <w:rFonts w:hint="default" w:ascii="Times New Roman" w:hAnsi="Times New Roman" w:eastAsia="楷体_GB2312" w:cs="Times New Roman"/>
          <w:b/>
          <w:sz w:val="32"/>
          <w:szCs w:val="32"/>
          <w:highlight w:val="none"/>
        </w:rPr>
      </w:pPr>
    </w:p>
    <w:p w14:paraId="765446CE">
      <w:pPr>
        <w:jc w:val="center"/>
        <w:rPr>
          <w:rFonts w:hint="default" w:ascii="Times New Roman" w:hAnsi="Times New Roman" w:eastAsia="楷体_GB2312" w:cs="Times New Roman"/>
          <w:b/>
          <w:sz w:val="32"/>
          <w:szCs w:val="32"/>
          <w:highlight w:val="none"/>
        </w:rPr>
      </w:pPr>
    </w:p>
    <w:p w14:paraId="6C49699F">
      <w:pPr>
        <w:jc w:val="center"/>
        <w:rPr>
          <w:rFonts w:hint="default" w:ascii="Times New Roman" w:hAnsi="Times New Roman" w:eastAsia="楷体_GB2312" w:cs="Times New Roman"/>
          <w:b/>
          <w:sz w:val="32"/>
          <w:szCs w:val="32"/>
          <w:highlight w:val="none"/>
        </w:rPr>
      </w:pPr>
    </w:p>
    <w:p w14:paraId="09E225F4">
      <w:pPr>
        <w:jc w:val="center"/>
        <w:rPr>
          <w:rFonts w:hint="default" w:ascii="Times New Roman" w:hAnsi="Times New Roman" w:eastAsia="楷体_GB2312" w:cs="Times New Roman"/>
          <w:b/>
          <w:sz w:val="32"/>
          <w:szCs w:val="32"/>
          <w:highlight w:val="none"/>
        </w:rPr>
      </w:pPr>
    </w:p>
    <w:p w14:paraId="5F99340B">
      <w:pPr>
        <w:jc w:val="center"/>
        <w:rPr>
          <w:rFonts w:hint="default" w:ascii="Times New Roman" w:hAnsi="Times New Roman" w:eastAsia="楷体_GB2312" w:cs="Times New Roman"/>
          <w:b/>
          <w:sz w:val="32"/>
          <w:szCs w:val="32"/>
          <w:highlight w:val="none"/>
        </w:rPr>
      </w:pPr>
    </w:p>
    <w:p w14:paraId="3C9D33FA">
      <w:pPr>
        <w:jc w:val="center"/>
        <w:rPr>
          <w:rFonts w:hint="default" w:ascii="Times New Roman" w:hAnsi="Times New Roman" w:eastAsia="楷体_GB2312" w:cs="Times New Roman"/>
          <w:b/>
          <w:sz w:val="32"/>
          <w:szCs w:val="32"/>
          <w:highlight w:val="none"/>
        </w:rPr>
      </w:pPr>
    </w:p>
    <w:p w14:paraId="73830995">
      <w:pPr>
        <w:jc w:val="center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</w:p>
    <w:p w14:paraId="214DC908">
      <w:pPr>
        <w:jc w:val="center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</w:p>
    <w:p w14:paraId="7C280F1B">
      <w:pPr>
        <w:jc w:val="center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</w:p>
    <w:p w14:paraId="6B59C8F3">
      <w:pPr>
        <w:jc w:val="both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</w:p>
    <w:p w14:paraId="2963CF1E">
      <w:pPr>
        <w:jc w:val="center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</w:p>
    <w:p w14:paraId="18AF189E">
      <w:pPr>
        <w:jc w:val="center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</w:p>
    <w:p w14:paraId="5B92CC38">
      <w:pPr>
        <w:jc w:val="center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</w:p>
    <w:p w14:paraId="35741BD4">
      <w:pPr>
        <w:spacing w:line="600" w:lineRule="exact"/>
        <w:jc w:val="center"/>
        <w:rPr>
          <w:rFonts w:hint="default" w:ascii="Times New Roman" w:hAnsi="Times New Roman" w:eastAsia="仿宋_GB2312" w:cs="Times New Roman"/>
          <w:sz w:val="32"/>
          <w:szCs w:val="32"/>
          <w:highlight w:val="none"/>
          <w:u w:val="singl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部门（单位）名称：</w:t>
      </w: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u w:val="single"/>
        </w:rPr>
        <w:t>（盖章）</w:t>
      </w:r>
    </w:p>
    <w:p w14:paraId="394E79CE">
      <w:pPr>
        <w:spacing w:line="600" w:lineRule="exact"/>
        <w:jc w:val="center"/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sz w:val="32"/>
          <w:szCs w:val="32"/>
          <w:highlight w:val="none"/>
          <w:lang w:val="en-US" w:eastAsia="zh-CN"/>
        </w:rPr>
        <w:t>2024</w:t>
      </w:r>
      <w:r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  <w:t xml:space="preserve">年 </w:t>
      </w:r>
      <w:r>
        <w:rPr>
          <w:rFonts w:hint="eastAsia" w:ascii="Times New Roman" w:hAnsi="Times New Roman" w:eastAsia="楷体_GB2312" w:cs="Times New Roman"/>
          <w:sz w:val="32"/>
          <w:szCs w:val="32"/>
          <w:highlight w:val="none"/>
          <w:lang w:val="en-US" w:eastAsia="zh-CN"/>
        </w:rPr>
        <w:t>6</w:t>
      </w:r>
      <w:r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  <w:t xml:space="preserve"> 月 </w:t>
      </w:r>
      <w:r>
        <w:rPr>
          <w:rFonts w:hint="eastAsia" w:ascii="Times New Roman" w:hAnsi="Times New Roman" w:eastAsia="楷体_GB2312" w:cs="Times New Roman"/>
          <w:sz w:val="32"/>
          <w:szCs w:val="32"/>
          <w:highlight w:val="none"/>
          <w:lang w:val="en-US" w:eastAsia="zh-CN"/>
        </w:rPr>
        <w:t>26</w:t>
      </w:r>
      <w:r>
        <w:rPr>
          <w:rFonts w:hint="default" w:ascii="Times New Roman" w:hAnsi="Times New Roman" w:eastAsia="楷体_GB2312" w:cs="Times New Roman"/>
          <w:sz w:val="32"/>
          <w:szCs w:val="32"/>
          <w:highlight w:val="none"/>
        </w:rPr>
        <w:t xml:space="preserve"> 日</w:t>
      </w:r>
    </w:p>
    <w:p w14:paraId="7D033A2A">
      <w:pPr>
        <w:jc w:val="center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t>（此页为封面）</w:t>
      </w:r>
    </w:p>
    <w:p w14:paraId="2BF1E876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  <w:br w:type="page"/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年度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eastAsia="zh-CN"/>
        </w:rPr>
        <w:t>岳阳市君山区人力资源和社会保障局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整体支出绩效自评报告</w:t>
      </w:r>
    </w:p>
    <w:p w14:paraId="32EDB796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 w14:paraId="781D12F7"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部门（单位）基本情况</w:t>
      </w:r>
    </w:p>
    <w:p w14:paraId="0AA6209E">
      <w:pPr>
        <w:spacing w:line="570" w:lineRule="atLeast"/>
        <w:ind w:firstLine="643" w:firstLineChars="200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shd w:val="clear" w:color="auto" w:fill="FFFFFF"/>
        </w:rPr>
        <w:t>（一）职能职责</w:t>
      </w:r>
    </w:p>
    <w:p w14:paraId="27A78458">
      <w:pPr>
        <w:widowControl/>
        <w:spacing w:line="600" w:lineRule="exact"/>
        <w:ind w:firstLine="627" w:firstLineChars="196"/>
        <w:jc w:val="left"/>
        <w:rPr>
          <w:rFonts w:eastAsia="仿宋_GB2312"/>
          <w:color w:val="auto"/>
          <w:sz w:val="32"/>
          <w:szCs w:val="32"/>
          <w:u w:val="none"/>
        </w:rPr>
      </w:pPr>
      <w:r>
        <w:rPr>
          <w:rFonts w:hint="eastAsia" w:eastAsia="仿宋_GB2312"/>
          <w:color w:val="auto"/>
          <w:sz w:val="32"/>
          <w:szCs w:val="32"/>
          <w:u w:val="none"/>
        </w:rPr>
        <w:t>主要负责贯彻执行国家人力资源和社会保障法规和</w:t>
      </w:r>
      <w:r>
        <w:rPr>
          <w:rFonts w:hint="eastAsia" w:eastAsia="仿宋_GB2312"/>
          <w:color w:val="auto"/>
          <w:sz w:val="32"/>
          <w:szCs w:val="32"/>
          <w:u w:val="none"/>
          <w:lang w:eastAsia="zh-CN"/>
        </w:rPr>
        <w:t>政</w:t>
      </w:r>
      <w:r>
        <w:rPr>
          <w:rFonts w:hint="eastAsia" w:eastAsia="仿宋_GB2312"/>
          <w:color w:val="auto"/>
          <w:sz w:val="32"/>
          <w:szCs w:val="32"/>
          <w:u w:val="none"/>
        </w:rPr>
        <w:t>策，对全区人力资源和社会保障工作进行综合管理、监督指导和协调服务；负责全区事业单位人事管理；完善公共就业服务体系，抓好就业培训与就业援助，促进就业再就业；建立覆盖城乡的社会保障体系，负责全区社会保险基金的发放和管理；负责劳动保障监察和劳动人事争议仲裁，维护劳资双方合法权益；做好社会维稳工作；承办区委、区政府交办的工作。</w:t>
      </w:r>
    </w:p>
    <w:p w14:paraId="7C06ABF7">
      <w:pPr>
        <w:spacing w:line="570" w:lineRule="atLeast"/>
        <w:ind w:firstLine="643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shd w:val="clear" w:color="auto" w:fill="FFFFFF"/>
        </w:rPr>
        <w:t>（二）机构设置</w:t>
      </w:r>
    </w:p>
    <w:p w14:paraId="38067483">
      <w:pPr>
        <w:spacing w:line="570" w:lineRule="atLeast"/>
        <w:ind w:firstLine="640" w:firstLineChars="200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岳阳市君山区人力资源和社会保障局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内设机构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个，事业单位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shd w:val="clear" w:color="auto" w:fill="FFFFFF"/>
        </w:rPr>
        <w:t>个。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none"/>
          <w:shd w:val="clear" w:color="auto" w:fill="FFFFFF"/>
        </w:rPr>
        <w:t>内设机构包括：</w:t>
      </w:r>
      <w:r>
        <w:rPr>
          <w:rFonts w:hint="eastAsia" w:eastAsia="仿宋_GB2312"/>
          <w:color w:val="auto"/>
          <w:sz w:val="32"/>
          <w:szCs w:val="32"/>
          <w:u w:val="none"/>
        </w:rPr>
        <w:t>办公室</w:t>
      </w:r>
      <w:r>
        <w:rPr>
          <w:rFonts w:hint="eastAsia" w:eastAsia="仿宋_GB2312"/>
          <w:color w:val="auto"/>
          <w:sz w:val="32"/>
          <w:szCs w:val="32"/>
          <w:u w:val="none"/>
          <w:lang w:eastAsia="zh-CN"/>
        </w:rPr>
        <w:t>（政工人事股、行政审批股）</w:t>
      </w:r>
      <w:r>
        <w:rPr>
          <w:rFonts w:hint="eastAsia" w:eastAsia="仿宋_GB2312"/>
          <w:color w:val="auto"/>
          <w:sz w:val="32"/>
          <w:szCs w:val="32"/>
          <w:u w:val="none"/>
        </w:rPr>
        <w:t>、社会保险综合股</w:t>
      </w:r>
      <w:r>
        <w:rPr>
          <w:rFonts w:hint="eastAsia" w:eastAsia="仿宋_GB2312"/>
          <w:color w:val="auto"/>
          <w:sz w:val="32"/>
          <w:szCs w:val="32"/>
          <w:u w:val="none"/>
          <w:lang w:eastAsia="zh-CN"/>
        </w:rPr>
        <w:t>（信访维稳办公室）</w:t>
      </w:r>
      <w:r>
        <w:rPr>
          <w:rFonts w:hint="eastAsia" w:eastAsia="仿宋_GB2312"/>
          <w:color w:val="auto"/>
          <w:sz w:val="32"/>
          <w:szCs w:val="32"/>
          <w:u w:val="none"/>
        </w:rPr>
        <w:t>、就业</w:t>
      </w:r>
      <w:r>
        <w:rPr>
          <w:rFonts w:hint="eastAsia" w:eastAsia="仿宋_GB2312"/>
          <w:color w:val="auto"/>
          <w:sz w:val="32"/>
          <w:szCs w:val="32"/>
          <w:u w:val="none"/>
          <w:lang w:eastAsia="zh-CN"/>
        </w:rPr>
        <w:t>创业</w:t>
      </w:r>
      <w:r>
        <w:rPr>
          <w:rFonts w:hint="eastAsia" w:eastAsia="仿宋_GB2312"/>
          <w:color w:val="auto"/>
          <w:sz w:val="32"/>
          <w:szCs w:val="32"/>
          <w:u w:val="none"/>
        </w:rPr>
        <w:t>和</w:t>
      </w:r>
      <w:r>
        <w:rPr>
          <w:rFonts w:hint="eastAsia" w:eastAsia="仿宋_GB2312"/>
          <w:color w:val="auto"/>
          <w:sz w:val="32"/>
          <w:szCs w:val="32"/>
          <w:u w:val="none"/>
          <w:lang w:eastAsia="zh-CN"/>
        </w:rPr>
        <w:t>失业保险</w:t>
      </w:r>
      <w:r>
        <w:rPr>
          <w:rFonts w:hint="eastAsia" w:eastAsia="仿宋_GB2312"/>
          <w:color w:val="auto"/>
          <w:sz w:val="32"/>
          <w:szCs w:val="32"/>
          <w:u w:val="none"/>
        </w:rPr>
        <w:t>股、基金监督股、事业单位管理股</w:t>
      </w:r>
      <w:r>
        <w:rPr>
          <w:rFonts w:hint="eastAsia" w:eastAsia="仿宋_GB2312"/>
          <w:color w:val="auto"/>
          <w:sz w:val="32"/>
          <w:szCs w:val="32"/>
          <w:u w:val="none"/>
          <w:lang w:eastAsia="zh-CN"/>
        </w:rPr>
        <w:t>（专技职称股）</w:t>
      </w:r>
      <w:r>
        <w:rPr>
          <w:rFonts w:hint="eastAsia" w:eastAsia="仿宋_GB2312"/>
          <w:color w:val="auto"/>
          <w:sz w:val="32"/>
          <w:szCs w:val="32"/>
          <w:u w:val="none"/>
        </w:rPr>
        <w:t>、工资福利和</w:t>
      </w:r>
      <w:r>
        <w:rPr>
          <w:rFonts w:hint="eastAsia" w:eastAsia="仿宋_GB2312"/>
          <w:color w:val="auto"/>
          <w:sz w:val="32"/>
          <w:szCs w:val="32"/>
          <w:u w:val="none"/>
          <w:lang w:eastAsia="zh-CN"/>
        </w:rPr>
        <w:t>考核奖惩</w:t>
      </w:r>
      <w:r>
        <w:rPr>
          <w:rFonts w:hint="eastAsia" w:eastAsia="仿宋_GB2312"/>
          <w:color w:val="auto"/>
          <w:sz w:val="32"/>
          <w:szCs w:val="32"/>
          <w:u w:val="none"/>
        </w:rPr>
        <w:t>股、政策法规股</w:t>
      </w:r>
      <w:r>
        <w:rPr>
          <w:rFonts w:hint="eastAsia" w:eastAsia="仿宋_GB2312"/>
          <w:color w:val="auto"/>
          <w:sz w:val="32"/>
          <w:szCs w:val="32"/>
          <w:u w:val="none"/>
          <w:lang w:eastAsia="zh-CN"/>
        </w:rPr>
        <w:t>、财务股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shd w:val="clear" w:color="auto" w:fill="FFFFFF"/>
        </w:rPr>
        <w:t>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shd w:val="clear" w:color="auto" w:fill="FFFFFF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shd w:val="clear" w:color="auto" w:fill="FFFFFF"/>
        </w:rPr>
        <w:t>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shd w:val="clear" w:color="auto" w:fill="FFFFFF"/>
          <w:lang w:val="en-US" w:eastAsia="zh-CN"/>
        </w:rPr>
        <w:t>股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shd w:val="clear" w:color="auto" w:fill="FFFFFF"/>
        </w:rPr>
        <w:t>室。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u w:val="none"/>
          <w:shd w:val="clear" w:color="auto" w:fill="FFFFFF"/>
          <w:lang w:val="en-US" w:eastAsia="zh-CN"/>
        </w:rPr>
        <w:t>事业单位包括：</w:t>
      </w:r>
      <w:r>
        <w:rPr>
          <w:rFonts w:hint="eastAsia" w:eastAsia="仿宋_GB2312"/>
          <w:color w:val="auto"/>
          <w:sz w:val="32"/>
          <w:szCs w:val="32"/>
          <w:u w:val="none"/>
          <w:lang w:val="en-US" w:eastAsia="zh-CN"/>
        </w:rPr>
        <w:t>人力资源服务中心、人力资源和社会保障网络服务中心、工伤保险服务中心、劳动人事争议仲裁院、劳动保障监察大队、人事考试中心。</w:t>
      </w:r>
    </w:p>
    <w:p w14:paraId="4C37EA87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二、一般公共预算支出情况</w:t>
      </w:r>
    </w:p>
    <w:p w14:paraId="2451186C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3" w:firstLineChars="200"/>
        <w:jc w:val="both"/>
        <w:textAlignment w:val="auto"/>
        <w:rPr>
          <w:rFonts w:hint="default" w:ascii="Times New Roman" w:hAnsi="Times New Roman" w:eastAsia="楷体_GB2312" w:cs="Times New Roman"/>
          <w:b/>
          <w:sz w:val="32"/>
          <w:szCs w:val="32"/>
          <w:highlight w:val="none"/>
        </w:rPr>
      </w:pPr>
      <w:r>
        <w:rPr>
          <w:rFonts w:hint="default" w:ascii="Times New Roman" w:hAnsi="Times New Roman" w:eastAsia="楷体_GB2312" w:cs="Times New Roman"/>
          <w:b/>
          <w:sz w:val="32"/>
          <w:szCs w:val="32"/>
          <w:highlight w:val="none"/>
        </w:rPr>
        <w:t>（一）基本支出情况</w:t>
      </w:r>
    </w:p>
    <w:p w14:paraId="4250ECAA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1、2023年基本支出情况</w:t>
      </w:r>
    </w:p>
    <w:p w14:paraId="47B6017E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基本支出用于为保障机构正常运转、完成日常工作任务而发生的支出，包括人员经费和日常公用经费。</w:t>
      </w:r>
    </w:p>
    <w:p w14:paraId="0CD09594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2023年基本支出988.30万元 ，具体包括：</w:t>
      </w:r>
    </w:p>
    <w:p w14:paraId="7E2C73AC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（1）工资福利支出441.27万元。主要包括在职人员工资、津贴补贴、奖金、绩效工资、基本养老保险、基本医疗保险、生育基金、工伤保险、住房公积金、其他工资福利支出等支出。</w:t>
      </w:r>
    </w:p>
    <w:p w14:paraId="2C9E6813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（2）商品和服务支出305.36万元。包括日常运行正常办公经费、印刷费、咨询费、水费、电费、邮电费、物业管理费、差旅费、维修（护）费、租赁费、会议费、培训费、“三公经费”、劳务费、委托业务费、工会经费、福利费、其他交通费、税金及附加及其他商品服务支出等。</w:t>
      </w:r>
    </w:p>
    <w:p w14:paraId="535744F1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（3）对个人和家庭补助支出241.67万元。主要包括离休费、生活补助费、奖励金、其他对个人和家庭的补助等支出。</w:t>
      </w:r>
    </w:p>
    <w:p w14:paraId="2A6A5277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2、“三公”经费情况</w:t>
      </w:r>
    </w:p>
    <w:p w14:paraId="03C1B3B6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2023年度，区人社局“三公”经费0.80万元，其中公务接待费为0.80万元，公务用车购置费为0万元，公务用车运行维护费0万元，我局严格控制使用“三公经费”，把推进厉行节约、反对铺张浪费，确保“三公”经费各项要求落到实处。</w:t>
      </w:r>
    </w:p>
    <w:p w14:paraId="1C55B014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3、预决算公开情况</w:t>
      </w:r>
    </w:p>
    <w:p w14:paraId="0BFFFD51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部门决算和部门预算编报通过区财政局审核批示，下达文件后，按照预决算公开的要求在政府网站上进行了公示，增强了预决算执行情况的透明度。</w:t>
      </w:r>
    </w:p>
    <w:p w14:paraId="5769452D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4、资产管理情况</w:t>
      </w:r>
    </w:p>
    <w:p w14:paraId="6021F6C3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按照“厉行节约、物尽其用”原则和内部管理制度规范执行。</w:t>
      </w:r>
    </w:p>
    <w:p w14:paraId="37E8338D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（1）责任分归。固定资产的购置、使用、报废由办公室、财务股等共同负责。</w:t>
      </w:r>
    </w:p>
    <w:p w14:paraId="6DB7D07E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（2）管控流程。固定资产的购置先由各相关股室根据实际需要提出购置计划，填报固定资产购置申请表，按程序办理采购手续，凡纳入政府采购目录、达到规定标准的采购项目，按照政府采购的规定进行；资产的处置报废报审，按照国家规定的审批程序办理，确保资产的安全高效，防止资产流失。</w:t>
      </w:r>
    </w:p>
    <w:p w14:paraId="2D2DD32F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2023年按照区财政局要求编制了行政事业单位资产管理报表，确保了资产安全完整。</w:t>
      </w:r>
    </w:p>
    <w:p w14:paraId="1A999317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5、内部管理制度建设情况</w:t>
      </w:r>
    </w:p>
    <w:p w14:paraId="55444A20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内部管理制度建设情况：成立了内控工作领导小组，建立了内部控制管理制度。在内控管理方面，严格执行有关法律法规、财经制度，完善业务操作流程，坚持“先预算、后支出”,统筹安排使用各项资金，确保各项工作的顺利开展。</w:t>
      </w:r>
    </w:p>
    <w:p w14:paraId="14C28241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2023年按照区财政局要求开展了内部控制基础性评价工作，进一步完善了内部控制体系。</w:t>
      </w:r>
    </w:p>
    <w:p w14:paraId="2329C538">
      <w:pPr>
        <w:pStyle w:val="7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3" w:firstLineChars="200"/>
        <w:jc w:val="both"/>
        <w:textAlignment w:val="auto"/>
        <w:rPr>
          <w:rFonts w:hint="default" w:ascii="Times New Roman" w:hAnsi="Times New Roman" w:eastAsia="楷体_GB2312" w:cs="Times New Roman"/>
          <w:b/>
          <w:sz w:val="32"/>
          <w:szCs w:val="32"/>
          <w:highlight w:val="none"/>
        </w:rPr>
      </w:pPr>
      <w:r>
        <w:rPr>
          <w:rFonts w:hint="default" w:ascii="Times New Roman" w:hAnsi="Times New Roman" w:eastAsia="楷体_GB2312" w:cs="Times New Roman"/>
          <w:b/>
          <w:sz w:val="32"/>
          <w:szCs w:val="32"/>
          <w:highlight w:val="none"/>
        </w:rPr>
        <w:t>项目支出情况</w:t>
      </w:r>
    </w:p>
    <w:p w14:paraId="6D50F8BA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项目支出是行政单位为完成特定的工作任务或事业发展目标，在基本的预算支出以外，财政预算专项安排的支出，主要为事业单位招考工作经费，社保基金督查工作经费等支出。</w:t>
      </w:r>
    </w:p>
    <w:p w14:paraId="54C554D5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 w:bidi="ar-SA"/>
        </w:rPr>
        <w:t>2023年度，区人社局项目支出总额为306.22万元。</w:t>
      </w:r>
    </w:p>
    <w:p w14:paraId="69367DA0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三、政府性基金预算支出情况政府性基金预算支出情况</w:t>
      </w:r>
    </w:p>
    <w:p w14:paraId="021DB30A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2023年我单位无政府性基金预算支出。</w:t>
      </w:r>
    </w:p>
    <w:p w14:paraId="6DB5FE69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eastAsia="zh-CN"/>
        </w:rPr>
        <w:t>四、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国有资本经营预算支出情况</w:t>
      </w:r>
    </w:p>
    <w:p w14:paraId="7C074D58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2023年我单位无国有资本经营预算支出。</w:t>
      </w:r>
    </w:p>
    <w:p w14:paraId="1BD6C3ED">
      <w:pPr>
        <w:pStyle w:val="7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黑体" w:cs="Times New Roman"/>
          <w:sz w:val="32"/>
          <w:szCs w:val="32"/>
          <w:highlight w:val="none"/>
          <w:lang w:eastAsia="zh-CN"/>
        </w:rPr>
        <w:t>五、</w:t>
      </w: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社会保险基金预算支出情况</w:t>
      </w:r>
    </w:p>
    <w:p w14:paraId="5997E037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highlight w:val="none"/>
          <w:lang w:val="en-US" w:eastAsia="zh-CN"/>
        </w:rPr>
        <w:t>2023年我单位无社会保险基金预算支出。</w:t>
      </w:r>
    </w:p>
    <w:p w14:paraId="7A736803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六、部门整体支出绩效情况</w:t>
      </w:r>
    </w:p>
    <w:p w14:paraId="52D521F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根据文件要求，对我局的整体支出认真开展了绩效自评工作。</w:t>
      </w:r>
    </w:p>
    <w:p w14:paraId="0980C45E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（一）绩效评价目的</w:t>
      </w:r>
    </w:p>
    <w:p w14:paraId="28852F7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按照国家政策法规规定，结合实际情况，进一步规范财政资金的管理，强化财政支出绩效理念，建立健全财务管理制度和内控制度，依法、有效地使用财政资金，提高财政资金使用效率。</w:t>
      </w:r>
    </w:p>
    <w:p w14:paraId="2C10E63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（二）绩效评价工作的过程</w:t>
      </w:r>
    </w:p>
    <w:p w14:paraId="6385879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１、成立了绩效评价工作领导小组，由局长任组长，副局长及纪检组长任副组长，办公室主任、基金监督股股长、各二级机构负责人及单位财务人员为成员。本单位实际制订了自评方案，完善了评价指标体系。</w:t>
      </w:r>
    </w:p>
    <w:p w14:paraId="3DF5F790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2、下发通知，布置单位自评。本单位高度重视，第一时间下发了《关于做好202</w:t>
      </w:r>
      <w:r>
        <w:rPr>
          <w:rFonts w:hint="eastAsia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度部门整体支出绩效自评工作的通知》，自评工作小组本着客观、公正、科学的原则，对照部门整体支出绩效评价指标表，通过基础数据、原始资料、会计报表、业务报表审核自查，对组织机构、人员编制、预算管理、预算执行情况等进行了全面绩效自评，在自评过程中发现问题，查找原因，及时纠正偏差，为下一步工作夯实基础。保证了绩效自评工作真实性、准确性和完整性。</w:t>
      </w:r>
    </w:p>
    <w:p w14:paraId="7887AC17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3、收集查阅资料。收集相关规章、制度、职责、工作计划等各种资料，对相关资料进行审核，确保资料的真实完整、可信。</w:t>
      </w:r>
    </w:p>
    <w:p w14:paraId="60139EA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4、形成评价结论。通过对资料分类整理和分析，按照评价指标、评价标准进行打分，形成自评结论，在自评过程中发现问题，查找原因，积极整改，为下一步的工作打下基础。</w:t>
      </w:r>
    </w:p>
    <w:p w14:paraId="12D0517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5、整理归档。绩效自评小组将自评情况、数据及相关佐证资料进行分类归档，有效索引。力争考核有数据、评价有依据、指标脉络明确、事实证据充分。</w:t>
      </w:r>
    </w:p>
    <w:p w14:paraId="4A50517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（三）部门职责履行情况</w:t>
      </w:r>
    </w:p>
    <w:p w14:paraId="3897200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仿宋" w:hAnsi="仿宋" w:eastAsia="仿宋" w:cs="Arial"/>
          <w:color w:val="000000"/>
          <w:kern w:val="0"/>
          <w:sz w:val="32"/>
          <w:szCs w:val="32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1、</w:t>
      </w:r>
      <w:r>
        <w:rPr>
          <w:rFonts w:hint="eastAsia" w:ascii="楷体" w:hAnsi="楷体" w:eastAsia="楷体" w:cs="楷体"/>
          <w:b/>
          <w:bCs/>
          <w:color w:val="000000"/>
          <w:sz w:val="32"/>
          <w:szCs w:val="32"/>
          <w:lang w:val="en-US" w:eastAsia="zh-CN"/>
        </w:rPr>
        <w:t>总体稳定就业形势。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坚持把就业创业作为“最大的民生工程”来推动，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</w:rPr>
        <w:t>重点突破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突出重点群体，精准帮扶。</w:t>
      </w:r>
      <w:r>
        <w:rPr>
          <w:rFonts w:hint="eastAsia" w:ascii="仿宋_GB2312" w:eastAsia="仿宋_GB2312"/>
          <w:sz w:val="32"/>
          <w:szCs w:val="32"/>
        </w:rPr>
        <w:t>实施“送岗”就业援助，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通过政府购岗、事业单位腾岗、企业供岗，帮助“4050”人员、“零就”业家庭、农村贫困就业家庭、退捕渔民、退役军人家庭等弱势群体“稳就业”。</w:t>
      </w:r>
      <w:r>
        <w:rPr>
          <w:rFonts w:hint="eastAsia" w:ascii="仿宋_GB2312" w:eastAsia="仿宋_GB2312"/>
          <w:sz w:val="32"/>
          <w:szCs w:val="32"/>
        </w:rPr>
        <w:t>202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  <w:r>
        <w:rPr>
          <w:rFonts w:hint="eastAsia" w:ascii="仿宋_GB2312" w:eastAsia="仿宋_GB2312"/>
          <w:sz w:val="32"/>
          <w:szCs w:val="32"/>
        </w:rPr>
        <w:t>年开发公益性岗位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63</w:t>
      </w:r>
      <w:r>
        <w:rPr>
          <w:rFonts w:hint="eastAsia" w:ascii="仿宋_GB2312" w:eastAsia="仿宋_GB2312"/>
          <w:sz w:val="32"/>
          <w:szCs w:val="32"/>
        </w:rPr>
        <w:t>个，</w:t>
      </w:r>
      <w:r>
        <w:rPr>
          <w:rFonts w:hint="eastAsia" w:ascii="仿宋" w:hAnsi="仿宋" w:eastAsia="仿宋" w:cs="仿宋"/>
          <w:b w:val="0"/>
          <w:i w:val="0"/>
          <w:iCs w:val="0"/>
          <w:caps w:val="0"/>
          <w:spacing w:val="8"/>
          <w:sz w:val="32"/>
          <w:szCs w:val="32"/>
          <w:shd w:val="clear" w:fill="FFFFFF"/>
          <w:lang w:val="en-US" w:eastAsia="zh-CN"/>
        </w:rPr>
        <w:t>存量结转上年度279个，共安置</w:t>
      </w:r>
      <w:r>
        <w:rPr>
          <w:rFonts w:hint="eastAsia" w:ascii="仿宋_GB2312" w:eastAsia="仿宋_GB2312"/>
          <w:sz w:val="32"/>
          <w:szCs w:val="32"/>
        </w:rPr>
        <w:t>就业困难人员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342</w:t>
      </w:r>
      <w:r>
        <w:rPr>
          <w:rFonts w:hint="eastAsia" w:ascii="仿宋_GB2312" w:eastAsia="仿宋_GB2312"/>
          <w:sz w:val="32"/>
          <w:szCs w:val="32"/>
        </w:rPr>
        <w:t>人。</w:t>
      </w:r>
      <w:r>
        <w:rPr>
          <w:rFonts w:hint="eastAsia" w:ascii="仿宋" w:hAnsi="仿宋" w:eastAsia="仿宋" w:cs="Arial"/>
          <w:b w:val="0"/>
          <w:bCs w:val="0"/>
          <w:color w:val="000000"/>
          <w:kern w:val="0"/>
          <w:sz w:val="32"/>
          <w:szCs w:val="32"/>
          <w:lang w:val="en-US" w:eastAsia="zh-CN"/>
        </w:rPr>
        <w:t>脱贫人口务工规模达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2571人，完成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比为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112%；</w:t>
      </w:r>
      <w:r>
        <w:rPr>
          <w:rFonts w:hint="eastAsia" w:ascii="仿宋" w:hAnsi="仿宋" w:eastAsia="仿宋" w:cs="仿宋"/>
          <w:sz w:val="32"/>
          <w:szCs w:val="32"/>
        </w:rPr>
        <w:t>退捕渔民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转产</w:t>
      </w:r>
      <w:r>
        <w:rPr>
          <w:rFonts w:hint="eastAsia" w:ascii="仿宋" w:hAnsi="仿宋" w:eastAsia="仿宋" w:cs="仿宋"/>
          <w:sz w:val="32"/>
          <w:szCs w:val="32"/>
        </w:rPr>
        <w:t>就业工作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多次得到人社部、省厅、市局的</w:t>
      </w:r>
      <w:r>
        <w:rPr>
          <w:rFonts w:hint="eastAsia" w:ascii="仿宋" w:hAnsi="仿宋" w:eastAsia="仿宋" w:cs="仿宋"/>
          <w:sz w:val="32"/>
          <w:szCs w:val="32"/>
        </w:rPr>
        <w:t>充分肯定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和推介</w:t>
      </w:r>
      <w:r>
        <w:rPr>
          <w:rFonts w:hint="eastAsia" w:ascii="仿宋" w:hAnsi="仿宋" w:eastAsia="仿宋" w:cs="仿宋"/>
          <w:sz w:val="32"/>
          <w:szCs w:val="32"/>
        </w:rPr>
        <w:t>。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突出重点区域，提升服务。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把服务园区企业用工作为就业工作主战场，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举办“春风行动”等各类招聘会10场次，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200多家次企业、安排“就业直通车”72台次免费接送求职者参加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招聘到岗2576余人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。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突出重点职业，强化培训。</w:t>
      </w:r>
      <w:r>
        <w:rPr>
          <w:rFonts w:hint="eastAsia" w:ascii="仿宋" w:hAnsi="仿宋" w:eastAsia="仿宋"/>
          <w:color w:val="000000"/>
          <w:sz w:val="32"/>
          <w:szCs w:val="32"/>
        </w:rPr>
        <w:t>开办中式烹调师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等职业技能培训和</w:t>
      </w:r>
      <w:r>
        <w:rPr>
          <w:rFonts w:hint="eastAsia" w:ascii="仿宋" w:hAnsi="仿宋" w:eastAsia="仿宋"/>
          <w:color w:val="000000"/>
          <w:sz w:val="32"/>
          <w:szCs w:val="32"/>
        </w:rPr>
        <w:t>民宿创业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等创业</w:t>
      </w:r>
      <w:r>
        <w:rPr>
          <w:rFonts w:hint="eastAsia" w:ascii="仿宋" w:hAnsi="仿宋" w:eastAsia="仿宋"/>
          <w:color w:val="000000"/>
          <w:sz w:val="32"/>
          <w:szCs w:val="32"/>
        </w:rPr>
        <w:t>培训班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29个班次，培训1055人，完成任务比为101.45%。</w:t>
      </w:r>
      <w:r>
        <w:rPr>
          <w:rFonts w:hint="default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创新校企合作模式，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highlight w:val="none"/>
          <w:lang w:val="en-US" w:eastAsia="zh-CN"/>
        </w:rPr>
        <w:t>共培训538人次。</w:t>
      </w:r>
      <w:r>
        <w:rPr>
          <w:rFonts w:hint="eastAsia" w:ascii="仿宋" w:hAnsi="仿宋" w:eastAsia="仿宋" w:cs="仿宋"/>
          <w:b/>
          <w:bCs/>
          <w:sz w:val="32"/>
          <w:szCs w:val="32"/>
        </w:rPr>
        <w:t>突出重点实体，服务提质。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在</w:t>
      </w:r>
      <w:r>
        <w:rPr>
          <w:rFonts w:hint="eastAsia" w:ascii="仿宋" w:hAnsi="仿宋" w:eastAsia="仿宋" w:cs="仿宋"/>
          <w:sz w:val="32"/>
          <w:szCs w:val="32"/>
        </w:rPr>
        <w:t>以“河西电商”为核心的电商平台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的基础上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推动了六门闸创业孵化基地建设</w:t>
      </w:r>
      <w:r>
        <w:rPr>
          <w:rFonts w:hint="eastAsia" w:ascii="仿宋" w:hAnsi="仿宋" w:eastAsia="仿宋" w:cs="仿宋"/>
          <w:sz w:val="32"/>
          <w:szCs w:val="32"/>
        </w:rPr>
        <w:t>。充分发挥小额担保贷款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助创功能</w:t>
      </w:r>
      <w:r>
        <w:rPr>
          <w:rFonts w:hint="eastAsia" w:ascii="仿宋" w:hAnsi="仿宋" w:eastAsia="仿宋" w:cs="仿宋"/>
          <w:sz w:val="32"/>
          <w:szCs w:val="32"/>
        </w:rPr>
        <w:t>，</w:t>
      </w:r>
      <w:r>
        <w:rPr>
          <w:rFonts w:hint="eastAsia" w:ascii="仿宋" w:hAnsi="仿宋" w:eastAsia="仿宋"/>
          <w:sz w:val="32"/>
          <w:szCs w:val="32"/>
        </w:rPr>
        <w:t>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sz w:val="32"/>
          <w:szCs w:val="32"/>
        </w:rPr>
        <w:t>年</w:t>
      </w:r>
      <w:r>
        <w:rPr>
          <w:rFonts w:hint="eastAsia" w:ascii="仿宋" w:hAnsi="仿宋" w:eastAsia="仿宋"/>
          <w:color w:val="000000"/>
          <w:sz w:val="32"/>
          <w:szCs w:val="32"/>
        </w:rPr>
        <w:t>发放创业担保贷款2350万元，扶持新增创业实体18个，带动就业350余人</w:t>
      </w:r>
      <w:r>
        <w:rPr>
          <w:rFonts w:hint="eastAsia" w:ascii="仿宋" w:hAnsi="仿宋" w:eastAsia="仿宋"/>
          <w:color w:val="000000"/>
          <w:sz w:val="32"/>
          <w:szCs w:val="32"/>
          <w:lang w:eastAsia="zh-CN"/>
        </w:rPr>
        <w:t>。</w:t>
      </w:r>
      <w:r>
        <w:rPr>
          <w:rFonts w:hint="eastAsia" w:ascii="仿宋" w:hAnsi="仿宋" w:eastAsia="仿宋"/>
          <w:color w:val="000000"/>
          <w:sz w:val="32"/>
          <w:szCs w:val="32"/>
          <w:lang w:val="en-US" w:eastAsia="zh-CN"/>
        </w:rPr>
        <w:t>2023年，</w:t>
      </w:r>
      <w:r>
        <w:rPr>
          <w:rFonts w:hint="eastAsia" w:ascii="仿宋" w:hAnsi="仿宋" w:eastAsia="仿宋"/>
          <w:b w:val="0"/>
          <w:bCs w:val="0"/>
          <w:sz w:val="32"/>
          <w:szCs w:val="32"/>
        </w:rPr>
        <w:t>城镇新增就业</w:t>
      </w:r>
      <w:r>
        <w:rPr>
          <w:rFonts w:hint="eastAsia" w:ascii="仿宋" w:hAnsi="仿宋" w:eastAsia="仿宋" w:cs="Arial"/>
          <w:b w:val="0"/>
          <w:bCs w:val="0"/>
          <w:color w:val="000000"/>
          <w:kern w:val="0"/>
          <w:sz w:val="32"/>
          <w:szCs w:val="32"/>
        </w:rPr>
        <w:t>2558人</w:t>
      </w:r>
      <w:r>
        <w:rPr>
          <w:rFonts w:hint="eastAsia" w:ascii="仿宋" w:hAnsi="仿宋" w:eastAsia="仿宋" w:cs="Arial"/>
          <w:b w:val="0"/>
          <w:bCs w:val="0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Arial"/>
          <w:b w:val="0"/>
          <w:bCs w:val="0"/>
          <w:color w:val="000000"/>
          <w:kern w:val="0"/>
          <w:sz w:val="32"/>
          <w:szCs w:val="32"/>
          <w:lang w:val="en-US" w:eastAsia="zh-CN"/>
        </w:rPr>
        <w:t>完成比为107%；</w:t>
      </w:r>
      <w:r>
        <w:rPr>
          <w:rFonts w:hint="eastAsia" w:ascii="仿宋" w:hAnsi="仿宋" w:eastAsia="仿宋" w:cs="Arial"/>
          <w:b w:val="0"/>
          <w:bCs w:val="0"/>
          <w:color w:val="000000"/>
          <w:kern w:val="0"/>
          <w:sz w:val="32"/>
          <w:szCs w:val="32"/>
        </w:rPr>
        <w:t>城镇调查失业率控制在5.2%以内</w:t>
      </w:r>
      <w:r>
        <w:rPr>
          <w:rFonts w:hint="eastAsia" w:ascii="仿宋" w:hAnsi="仿宋" w:eastAsia="仿宋" w:cs="Arial"/>
          <w:color w:val="000000"/>
          <w:kern w:val="0"/>
          <w:sz w:val="32"/>
          <w:szCs w:val="32"/>
          <w:lang w:eastAsia="zh-CN"/>
        </w:rPr>
        <w:t>。</w:t>
      </w:r>
    </w:p>
    <w:p w14:paraId="1477F31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2、</w:t>
      </w:r>
      <w:r>
        <w:rPr>
          <w:rFonts w:hint="eastAsia" w:ascii="楷体" w:hAnsi="楷体" w:eastAsia="楷体" w:cs="楷体"/>
          <w:b/>
          <w:bCs/>
          <w:color w:val="000000"/>
          <w:sz w:val="32"/>
          <w:szCs w:val="32"/>
          <w:lang w:val="en-US" w:eastAsia="zh-CN"/>
        </w:rPr>
        <w:t>全力维护社保安全平稳。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抓参保扩面，保发放。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养老、工伤、失业保险法定人员参保分别达到18.67万人、3.82万人、0.45万人；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发放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各项社保待遇16.2亿</w:t>
      </w:r>
      <w:r>
        <w:rPr>
          <w:rFonts w:hint="eastAsia" w:ascii="仿宋" w:hAnsi="仿宋" w:eastAsia="仿宋" w:cs="仿宋"/>
          <w:sz w:val="32"/>
          <w:szCs w:val="40"/>
          <w:lang w:eastAsia="zh-CN"/>
        </w:rPr>
        <w:t>元</w:t>
      </w:r>
      <w:r>
        <w:rPr>
          <w:rFonts w:hint="eastAsia" w:ascii="仿宋" w:hAnsi="仿宋" w:eastAsia="仿宋" w:cs="仿宋"/>
          <w:sz w:val="32"/>
          <w:szCs w:val="40"/>
          <w:lang w:val="en-US" w:eastAsia="zh-CN"/>
        </w:rPr>
        <w:t>。</w:t>
      </w:r>
    </w:p>
    <w:p w14:paraId="29835C0A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仿宋" w:hAnsi="仿宋" w:eastAsia="仿宋" w:cs="仿宋"/>
          <w:i w:val="0"/>
          <w:iCs w:val="0"/>
          <w:caps w:val="0"/>
          <w:color w:val="313131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3、</w:t>
      </w:r>
      <w:r>
        <w:rPr>
          <w:rFonts w:hint="eastAsia" w:ascii="楷体" w:hAnsi="楷体" w:eastAsia="楷体" w:cs="楷体"/>
          <w:b/>
          <w:bCs/>
          <w:sz w:val="32"/>
          <w:szCs w:val="40"/>
          <w:lang w:val="en-US" w:eastAsia="zh-CN"/>
        </w:rPr>
        <w:t>多维开展人事人才工作。</w:t>
      </w:r>
      <w:r>
        <w:rPr>
          <w:rFonts w:hint="eastAsia" w:ascii="仿宋" w:hAnsi="仿宋" w:eastAsia="仿宋" w:cs="仿宋"/>
          <w:b w:val="0"/>
          <w:bCs w:val="0"/>
          <w:sz w:val="32"/>
          <w:szCs w:val="40"/>
          <w:lang w:val="en-US" w:eastAsia="zh-CN"/>
        </w:rPr>
        <w:t>经济要发展，人才是关键，人才资源是第一资源。</w:t>
      </w:r>
      <w:r>
        <w:rPr>
          <w:rFonts w:hint="eastAsia" w:ascii="仿宋" w:hAnsi="仿宋" w:eastAsia="仿宋" w:cs="仿宋"/>
          <w:b/>
          <w:bCs/>
          <w:sz w:val="32"/>
          <w:szCs w:val="40"/>
          <w:lang w:val="en-US" w:eastAsia="zh-CN"/>
        </w:rPr>
        <w:t>多维揽才。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通过“四海揽才”、公开招聘、教师回流等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引进各层次技能人才80人。同时，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与岳阳人才集团签订了</w:t>
      </w:r>
      <w:r>
        <w:rPr>
          <w:rFonts w:hint="eastAsia" w:ascii="仿宋" w:hAnsi="仿宋" w:eastAsia="仿宋" w:cs="仿宋"/>
          <w:sz w:val="32"/>
          <w:szCs w:val="32"/>
        </w:rPr>
        <w:t>全面战略合作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协议，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为</w:t>
      </w:r>
      <w:r>
        <w:rPr>
          <w:rFonts w:hint="eastAsia" w:ascii="仿宋" w:hAnsi="仿宋" w:eastAsia="仿宋" w:cs="仿宋"/>
          <w:i w:val="0"/>
          <w:iCs w:val="0"/>
          <w:caps w:val="0"/>
          <w:color w:val="313131"/>
          <w:spacing w:val="0"/>
          <w:sz w:val="32"/>
          <w:szCs w:val="32"/>
          <w:shd w:val="clear" w:fill="FFFFFF"/>
        </w:rPr>
        <w:t>我</w:t>
      </w:r>
      <w:r>
        <w:rPr>
          <w:rFonts w:hint="eastAsia" w:ascii="仿宋" w:hAnsi="仿宋" w:eastAsia="仿宋" w:cs="仿宋"/>
          <w:i w:val="0"/>
          <w:iCs w:val="0"/>
          <w:caps w:val="0"/>
          <w:color w:val="313131"/>
          <w:spacing w:val="0"/>
          <w:sz w:val="32"/>
          <w:szCs w:val="32"/>
          <w:shd w:val="clear" w:fill="FFFFFF"/>
          <w:lang w:val="en-US" w:eastAsia="zh-CN"/>
        </w:rPr>
        <w:t>区</w:t>
      </w:r>
      <w:r>
        <w:rPr>
          <w:rFonts w:hint="eastAsia" w:ascii="仿宋" w:hAnsi="仿宋" w:eastAsia="仿宋" w:cs="仿宋"/>
          <w:b w:val="0"/>
          <w:bCs w:val="0"/>
          <w:color w:val="auto"/>
          <w:sz w:val="32"/>
          <w:szCs w:val="32"/>
          <w:lang w:val="en" w:eastAsia="zh-CN"/>
        </w:rPr>
        <w:t>人才与人力资源服务</w:t>
      </w:r>
      <w:r>
        <w:rPr>
          <w:rFonts w:hint="eastAsia" w:ascii="仿宋" w:hAnsi="仿宋" w:eastAsia="仿宋" w:cs="仿宋"/>
          <w:i w:val="0"/>
          <w:iCs w:val="0"/>
          <w:caps w:val="0"/>
          <w:color w:val="313131"/>
          <w:spacing w:val="0"/>
          <w:sz w:val="32"/>
          <w:szCs w:val="32"/>
          <w:shd w:val="clear" w:fill="FFFFFF"/>
        </w:rPr>
        <w:t>增添</w:t>
      </w:r>
      <w:r>
        <w:rPr>
          <w:rFonts w:hint="eastAsia" w:ascii="仿宋" w:hAnsi="仿宋" w:eastAsia="仿宋" w:cs="仿宋"/>
          <w:i w:val="0"/>
          <w:iCs w:val="0"/>
          <w:caps w:val="0"/>
          <w:color w:val="313131"/>
          <w:spacing w:val="0"/>
          <w:sz w:val="32"/>
          <w:szCs w:val="32"/>
          <w:shd w:val="clear" w:fill="FFFFFF"/>
          <w:lang w:val="en-US" w:eastAsia="zh-CN"/>
        </w:rPr>
        <w:t>了</w:t>
      </w:r>
      <w:r>
        <w:rPr>
          <w:rFonts w:hint="eastAsia" w:ascii="仿宋" w:hAnsi="仿宋" w:eastAsia="仿宋" w:cs="仿宋"/>
          <w:i w:val="0"/>
          <w:iCs w:val="0"/>
          <w:caps w:val="0"/>
          <w:color w:val="313131"/>
          <w:spacing w:val="0"/>
          <w:sz w:val="32"/>
          <w:szCs w:val="32"/>
          <w:shd w:val="clear" w:fill="FFFFFF"/>
        </w:rPr>
        <w:t>新的动力</w:t>
      </w:r>
      <w:r>
        <w:rPr>
          <w:rFonts w:hint="eastAsia" w:ascii="仿宋" w:hAnsi="仿宋" w:eastAsia="仿宋" w:cs="仿宋"/>
          <w:i w:val="0"/>
          <w:iCs w:val="0"/>
          <w:caps w:val="0"/>
          <w:color w:val="313131"/>
          <w:spacing w:val="0"/>
          <w:sz w:val="32"/>
          <w:szCs w:val="32"/>
          <w:shd w:val="clear" w:fill="FFFFFF"/>
          <w:lang w:eastAsia="zh-CN"/>
        </w:rPr>
        <w:t>。</w:t>
      </w:r>
    </w:p>
    <w:p w14:paraId="1BB744F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4、</w:t>
      </w:r>
      <w:r>
        <w:rPr>
          <w:rFonts w:hint="eastAsia" w:ascii="楷体" w:hAnsi="楷体" w:eastAsia="楷体" w:cs="楷体"/>
          <w:b/>
          <w:bCs/>
          <w:sz w:val="32"/>
          <w:szCs w:val="32"/>
          <w:lang w:val="en-US" w:eastAsia="zh-CN"/>
        </w:rPr>
        <w:t>努力构建和谐劳动关系。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抓根治欠薪。</w:t>
      </w:r>
      <w:r>
        <w:rPr>
          <w:rFonts w:hint="eastAsia" w:ascii="仿宋" w:hAnsi="仿宋" w:eastAsia="仿宋"/>
          <w:b w:val="0"/>
          <w:bCs w:val="0"/>
          <w:sz w:val="32"/>
          <w:szCs w:val="32"/>
          <w:lang w:val="en-US" w:eastAsia="zh-CN"/>
        </w:rPr>
        <w:t>抓工作部署，</w:t>
      </w:r>
      <w:r>
        <w:rPr>
          <w:rFonts w:hint="eastAsia" w:ascii="仿宋" w:hAnsi="仿宋" w:eastAsia="仿宋" w:cs="仿宋"/>
          <w:sz w:val="32"/>
          <w:szCs w:val="32"/>
        </w:rPr>
        <w:t>将“根治欠薪”工作纳入目标管理绩效考核范畴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；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抓任务落实，</w:t>
      </w:r>
      <w:r>
        <w:rPr>
          <w:rFonts w:hint="eastAsia" w:ascii="仿宋" w:hAnsi="仿宋" w:eastAsia="仿宋" w:cs="仿宋"/>
          <w:b w:val="0"/>
          <w:bCs w:val="0"/>
          <w:sz w:val="32"/>
          <w:szCs w:val="32"/>
          <w:lang w:val="en-US" w:eastAsia="zh-CN"/>
        </w:rPr>
        <w:t>建立了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“君山区根治欠薪情况通报群”，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定期调度，定期督查，定期通报；抓部门协作，建立了</w:t>
      </w:r>
      <w:r>
        <w:rPr>
          <w:rFonts w:hint="eastAsia" w:ascii="仿宋" w:hAnsi="仿宋" w:eastAsia="仿宋" w:cs="仿宋"/>
          <w:sz w:val="32"/>
          <w:szCs w:val="32"/>
        </w:rPr>
        <w:t>住建、交通、水利等行业主管部门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联席会议制度</w:t>
      </w:r>
      <w:r>
        <w:rPr>
          <w:rFonts w:hint="eastAsia" w:ascii="仿宋" w:hAnsi="仿宋" w:eastAsia="仿宋" w:cs="仿宋"/>
          <w:sz w:val="32"/>
          <w:szCs w:val="32"/>
        </w:rPr>
        <w:t>，形成了多部门通力协作的工作格局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为1230名农民工追回拖欠工资850余万元。</w:t>
      </w:r>
      <w:r>
        <w:rPr>
          <w:rFonts w:hint="eastAsia" w:ascii="仿宋" w:hAnsi="仿宋" w:eastAsia="仿宋" w:cs="仿宋"/>
          <w:b/>
          <w:bCs/>
          <w:sz w:val="32"/>
          <w:szCs w:val="32"/>
          <w:lang w:val="en-US" w:eastAsia="zh-CN"/>
        </w:rPr>
        <w:t>抓仲裁调解。</w:t>
      </w:r>
      <w:r>
        <w:rPr>
          <w:rFonts w:hint="eastAsia" w:ascii="仿宋" w:hAnsi="仿宋" w:eastAsia="仿宋" w:cs="仿宋"/>
          <w:color w:val="000000"/>
          <w:sz w:val="32"/>
          <w:szCs w:val="32"/>
          <w:lang w:val="en-US" w:eastAsia="zh-CN"/>
        </w:rPr>
        <w:t>坚持以调为先，调解劳动人事仲裁案件33个，调解成功率100%。</w:t>
      </w:r>
      <w:r>
        <w:rPr>
          <w:rFonts w:hint="eastAsia" w:ascii="仿宋" w:hAnsi="仿宋" w:eastAsia="仿宋" w:cs="仿宋"/>
          <w:b w:val="0"/>
          <w:bCs w:val="0"/>
          <w:color w:val="000000"/>
          <w:sz w:val="32"/>
          <w:szCs w:val="32"/>
          <w:lang w:val="en-US" w:eastAsia="zh-CN"/>
        </w:rPr>
        <w:t>区劳动人事争议仲裁院调解中心获评“湖南省劳动人事争议金牌调解组织”。</w:t>
      </w:r>
    </w:p>
    <w:p w14:paraId="4281F241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（四）财政预算绩效管理情况</w:t>
      </w:r>
    </w:p>
    <w:p w14:paraId="66D576CC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1、预算编制情况：202</w:t>
      </w:r>
      <w:r>
        <w:rPr>
          <w:rFonts w:hint="eastAsia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年我局认真贯彻执行《会计法》、《预算法》等法律法规，认真进行了预算编制，依据整体绩效目标所设定的绩效指标清晰、细化、可衡量。</w:t>
      </w:r>
    </w:p>
    <w:p w14:paraId="6A2465C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、执行管理情况：我局管理制度健全，加强了财政专项资金管理，严格按预算进度支付费用，加强了“三公”经费、公用经费、结转结余的控制，各项经费支出严格按照政府采购、国库集中支付等有关规定执行,预算执行完成和控制较好。</w:t>
      </w:r>
    </w:p>
    <w:p w14:paraId="1EDA10C8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（五）财政预算绩效自评结论</w:t>
      </w:r>
    </w:p>
    <w:p w14:paraId="521AD499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通过绩效自评，进一步掌握了资金使用情况和取得的效果，总结了项目资金管理经验，发现了工作中存在的问题和不足，为今后加强资金使用管理、健全资金支出项目、完善资金绩效管理、提高资金使用效益工作提供了重要的参考依据。</w:t>
      </w:r>
    </w:p>
    <w:p w14:paraId="2D36877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认真对照《202</w:t>
      </w:r>
      <w:r>
        <w:rPr>
          <w:rFonts w:hint="eastAsia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年部门整体支出绩效自评指标计分表》，我局各项指标都较好地达到了相关要求，202</w:t>
      </w:r>
      <w:r>
        <w:rPr>
          <w:rFonts w:hint="eastAsia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年部门整体支出绩效自评结论为优秀。</w:t>
      </w:r>
    </w:p>
    <w:p w14:paraId="70655137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七、存在的问题及原因分析</w:t>
      </w:r>
    </w:p>
    <w:p w14:paraId="7942DB5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</w:pP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因部门整体支出的资金安排和使用上具有不可预见性，在科学设置预算绩效指标上还需进一步加强。由于行政经费少，年初编制的预算不够精确，编制范围不太全面，预算执行情况还有待进一步加强。</w:t>
      </w:r>
    </w:p>
    <w:p w14:paraId="01402D69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八、下一步改进措施</w:t>
      </w:r>
    </w:p>
    <w:p w14:paraId="0F60AE86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1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、提高预算编制科学性和合理性，严格执行预算</w:t>
      </w:r>
    </w:p>
    <w:p w14:paraId="71C34955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加强预算编制的前瞻性，按照《预算法》及其实施条例的相关规定，按政策规定及本单位的发展规划，结合上一年度预算执行情况和本年度预算收支变化因素，科学、合理地编制本年预算草案，提高预算编制科学性和合理性，优化资金结构。增强预算编制的全面性、准确性，强化预算执行的严肃性。</w:t>
      </w:r>
    </w:p>
    <w:p w14:paraId="0D85649B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2、兼顾预算调整的灵活性 </w:t>
      </w:r>
    </w:p>
    <w:p w14:paraId="500C036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开展预算执行分析，及时掌握预算执行进度，适时对预算执行情况进行通报和督促。对确有必要的预算调整严格按程序审核报批，加快消化结转结余资金。</w:t>
      </w:r>
    </w:p>
    <w:p w14:paraId="49CE804D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3、加强财务人员的学习培训</w:t>
      </w:r>
    </w:p>
    <w:p w14:paraId="4AAB153F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default" w:ascii="Times New Roman" w:hAnsi="Times New Roman" w:cs="Times New Roman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加强单位财务人员《预算法》《政府会计准则》和《政府会计制度》等相关方面的业务培训学习，规范部门预算收支核算，增强预算的约束力和严肃性，切实提高部门预算收支管理水平。</w:t>
      </w:r>
    </w:p>
    <w:p w14:paraId="24850DC2"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60" w:lineRule="atLeast"/>
        <w:ind w:left="0" w:right="0" w:firstLine="640"/>
        <w:jc w:val="both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2"/>
          <w:szCs w:val="32"/>
          <w:shd w:val="clear" w:fill="FFFFFF"/>
        </w:rPr>
        <w:t>4、完善制度管理，严格控制支出。严格执行中央、省、市有关文件精神，确保厉行节约、反对铺张浪费，严控“三公”经费等公务支出。严格按照预算规定的费用项目和用途进行资金使用审核、列报支付、财务核算，杜绝超支现象的发生。</w:t>
      </w:r>
    </w:p>
    <w:p w14:paraId="7D03CDE0"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部门整体支出绩效自评结果拟应用和公开情况</w:t>
      </w:r>
    </w:p>
    <w:p w14:paraId="288F1E3C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highlight w:val="none"/>
          <w:lang w:val="en-US" w:eastAsia="zh-CN"/>
        </w:rPr>
        <w:t>将自评结果作为下年预算编制及执行的重要参考，绩效自评报告依规定公开，接受社会监督。</w:t>
      </w:r>
    </w:p>
    <w:p w14:paraId="1EF2F72F">
      <w:pPr>
        <w:keepNext w:val="0"/>
        <w:keepLines w:val="0"/>
        <w:pageBreakBefore w:val="0"/>
        <w:widowControl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="0" w:leftChars="0"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sz w:val="32"/>
          <w:szCs w:val="32"/>
          <w:highlight w:val="none"/>
        </w:rPr>
        <w:t>其他需要说明的情况</w:t>
      </w:r>
    </w:p>
    <w:p w14:paraId="410AF725"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leftChars="200"/>
        <w:jc w:val="both"/>
        <w:textAlignment w:val="auto"/>
        <w:rPr>
          <w:rFonts w:ascii="仿宋_GB2312" w:hAnsi="宋体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r>
        <w:rPr>
          <w:rFonts w:ascii="仿宋_GB2312" w:hAnsi="宋体" w:eastAsia="仿宋_GB2312" w:cs="仿宋_GB2312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暂无其他需要说明的情况。</w:t>
      </w:r>
    </w:p>
    <w:p w14:paraId="20F11042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</w:p>
    <w:p w14:paraId="1DE14AB4">
      <w:pPr>
        <w:pStyle w:val="7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  <w:highlight w:val="none"/>
        </w:rPr>
      </w:pPr>
    </w:p>
    <w:p w14:paraId="2B631AA6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 w14:paraId="5C9A1591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 w14:paraId="2BF7307E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 w14:paraId="00FDCC80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 w14:paraId="646567C4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highlight w:val="none"/>
        </w:rPr>
      </w:pPr>
    </w:p>
    <w:p w14:paraId="3E893A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Lines="0" w:line="360" w:lineRule="auto"/>
        <w:ind w:right="0" w:rightChars="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A54C1B6"/>
    <w:multiLevelType w:val="singleLevel"/>
    <w:tmpl w:val="9A54C1B6"/>
    <w:lvl w:ilvl="0" w:tentative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F8942BA"/>
    <w:multiLevelType w:val="singleLevel"/>
    <w:tmpl w:val="0F8942BA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79465D64"/>
    <w:multiLevelType w:val="singleLevel"/>
    <w:tmpl w:val="79465D6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MyOTY1ZDBhNTY1NGY2NzQxMTJkZjllNzcxMjQ0MjcifQ=="/>
  </w:docVars>
  <w:rsids>
    <w:rsidRoot w:val="59886344"/>
    <w:rsid w:val="04614EE6"/>
    <w:rsid w:val="094D2D64"/>
    <w:rsid w:val="0D086BD7"/>
    <w:rsid w:val="0FBC09E9"/>
    <w:rsid w:val="134F34D0"/>
    <w:rsid w:val="13630AF5"/>
    <w:rsid w:val="138D2CA8"/>
    <w:rsid w:val="151E7250"/>
    <w:rsid w:val="17D43399"/>
    <w:rsid w:val="1FB70EE8"/>
    <w:rsid w:val="217A4DE0"/>
    <w:rsid w:val="22D00801"/>
    <w:rsid w:val="25FD22A6"/>
    <w:rsid w:val="2916211A"/>
    <w:rsid w:val="2B994EAF"/>
    <w:rsid w:val="2C4B79BF"/>
    <w:rsid w:val="2D4F41C3"/>
    <w:rsid w:val="2DB50944"/>
    <w:rsid w:val="2E4C55F3"/>
    <w:rsid w:val="300D44FC"/>
    <w:rsid w:val="31624F2A"/>
    <w:rsid w:val="326B7098"/>
    <w:rsid w:val="33970619"/>
    <w:rsid w:val="367B6582"/>
    <w:rsid w:val="376A3EC1"/>
    <w:rsid w:val="3A3B3B69"/>
    <w:rsid w:val="3A7F5366"/>
    <w:rsid w:val="3C74033D"/>
    <w:rsid w:val="3C9031B9"/>
    <w:rsid w:val="3F9D6F83"/>
    <w:rsid w:val="41350ADC"/>
    <w:rsid w:val="416C1278"/>
    <w:rsid w:val="41FC7431"/>
    <w:rsid w:val="44D93AA4"/>
    <w:rsid w:val="490911CB"/>
    <w:rsid w:val="4A8E20F7"/>
    <w:rsid w:val="4CDC3724"/>
    <w:rsid w:val="4D476ED8"/>
    <w:rsid w:val="4FE6000A"/>
    <w:rsid w:val="52F4448F"/>
    <w:rsid w:val="557B26D6"/>
    <w:rsid w:val="57770761"/>
    <w:rsid w:val="584D65AC"/>
    <w:rsid w:val="59886344"/>
    <w:rsid w:val="5D744C44"/>
    <w:rsid w:val="62A52B40"/>
    <w:rsid w:val="66277D02"/>
    <w:rsid w:val="67095D94"/>
    <w:rsid w:val="674F51D9"/>
    <w:rsid w:val="6967304F"/>
    <w:rsid w:val="6F12311E"/>
    <w:rsid w:val="6F5E0B5E"/>
    <w:rsid w:val="72AE3C93"/>
    <w:rsid w:val="763171AC"/>
    <w:rsid w:val="78692732"/>
    <w:rsid w:val="7CEE5C7B"/>
    <w:rsid w:val="7F475F79"/>
    <w:rsid w:val="DFEF88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" w:hAnsi="仿宋" w:eastAsia="宋体" w:cs="Times New Roman"/>
      <w:kern w:val="0"/>
      <w:sz w:val="28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6">
    <w:name w:val="列出段落1"/>
    <w:basedOn w:val="1"/>
    <w:qFormat/>
    <w:uiPriority w:val="34"/>
    <w:pPr>
      <w:ind w:firstLine="420" w:firstLineChars="200"/>
    </w:pPr>
  </w:style>
  <w:style w:type="paragraph" w:styleId="7">
    <w:name w:val="List Paragraph"/>
    <w:basedOn w:val="1"/>
    <w:qFormat/>
    <w:uiPriority w:val="99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5874</Words>
  <Characters>6334</Characters>
  <Lines>0</Lines>
  <Paragraphs>0</Paragraphs>
  <TotalTime>4</TotalTime>
  <ScaleCrop>false</ScaleCrop>
  <LinksUpToDate>false</LinksUpToDate>
  <CharactersWithSpaces>6787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2024-03-18T08:36:00Z</dcterms:created>
  <dc:creator>Administrator</dc:creator>
  <cp:lastModifiedBy>兴鋅</cp:lastModifiedBy>
  <dcterms:modified xsi:type="dcterms:W3CDTF">2024-09-24T07:43:07Z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6182D3A10D564617983F46DEE354AEAF</vt:lpwstr>
  </property>
</Properties>
</file>