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jc w:val="center"/>
        <w:rPr>
          <w:rFonts w:ascii="Times New Roman" w:hAnsi="Times New Roman" w:eastAsia="方正小标宋_GBK"/>
          <w:sz w:val="52"/>
          <w:szCs w:val="5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2023年度岳阳市第十六中学整体支出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绩效自评报告</w:t>
      </w:r>
    </w:p>
    <w:p>
      <w:pPr>
        <w:jc w:val="center"/>
        <w:rPr>
          <w:rFonts w:ascii="Times New Roman" w:hAnsi="Times New Roman" w:eastAsia="方正小标宋_GBK"/>
          <w:b/>
          <w:sz w:val="52"/>
          <w:szCs w:val="5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楷体_GB2312"/>
          <w:b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jc w:val="center"/>
        <w:rPr>
          <w:rFonts w:ascii="Times New Roman" w:hAnsi="Times New Roman" w:eastAsia="黑体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>部门（单位）名称：</w:t>
      </w:r>
      <w:r>
        <w:rPr>
          <w:rFonts w:ascii="Times New Roman" w:hAnsi="Times New Roman" w:eastAsia="仿宋_GB2312"/>
          <w:sz w:val="32"/>
          <w:szCs w:val="32"/>
          <w:u w:val="single"/>
        </w:rPr>
        <w:t>（盖章）</w:t>
      </w:r>
    </w:p>
    <w:p>
      <w:pPr>
        <w:spacing w:line="600" w:lineRule="exact"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2024</w:t>
      </w:r>
      <w:r>
        <w:rPr>
          <w:rFonts w:ascii="Times New Roman" w:hAnsi="Times New Roman" w:eastAsia="楷体_GB2312"/>
          <w:sz w:val="32"/>
          <w:szCs w:val="32"/>
        </w:rPr>
        <w:t>年</w:t>
      </w:r>
      <w:r>
        <w:rPr>
          <w:rFonts w:hint="eastAsia" w:ascii="Times New Roman" w:hAnsi="Times New Roman" w:eastAsia="楷体_GB2312"/>
          <w:sz w:val="32"/>
          <w:szCs w:val="32"/>
        </w:rPr>
        <w:t>6</w:t>
      </w:r>
      <w:r>
        <w:rPr>
          <w:rFonts w:ascii="Times New Roman" w:hAnsi="Times New Roman" w:eastAsia="楷体_GB2312"/>
          <w:sz w:val="32"/>
          <w:szCs w:val="32"/>
        </w:rPr>
        <w:t>月</w:t>
      </w:r>
      <w:r>
        <w:rPr>
          <w:rFonts w:hint="eastAsia" w:ascii="Times New Roman" w:hAnsi="Times New Roman" w:eastAsia="楷体_GB2312"/>
          <w:sz w:val="32"/>
          <w:szCs w:val="32"/>
        </w:rPr>
        <w:t>20</w:t>
      </w:r>
      <w:r>
        <w:rPr>
          <w:rFonts w:ascii="Times New Roman" w:hAnsi="Times New Roman" w:eastAsia="楷体_GB2312"/>
          <w:sz w:val="32"/>
          <w:szCs w:val="32"/>
        </w:rPr>
        <w:t>日</w:t>
      </w:r>
    </w:p>
    <w:p>
      <w:pPr>
        <w:adjustRightInd w:val="0"/>
        <w:snapToGrid w:val="0"/>
        <w:spacing w:line="360" w:lineRule="auto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ascii="Times New Roman" w:hAnsi="Times New Roman" w:eastAsia="仿宋_GB2312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2023年度岳阳市第十六中学整体支出</w:t>
      </w:r>
    </w:p>
    <w:p>
      <w:pPr>
        <w:adjustRightInd w:val="0"/>
        <w:snapToGrid w:val="0"/>
        <w:spacing w:line="360" w:lineRule="auto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绩效自评报告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600"/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eastAsia="仿宋" w:cs="仿宋"/>
          <w:color w:val="333333"/>
          <w:sz w:val="30"/>
          <w:szCs w:val="30"/>
          <w:shd w:val="clear" w:color="auto" w:fill="FFFFFF"/>
        </w:rPr>
        <w:t>为进一步规范财政资金管理，强化绩效和责任意识，切实提高财政资金使用效益，</w:t>
      </w:r>
      <w:r>
        <w:rPr>
          <w:rFonts w:hint="eastAsia" w:eastAsia="仿宋" w:cs="仿宋"/>
          <w:sz w:val="30"/>
          <w:szCs w:val="30"/>
        </w:rPr>
        <w:t>根据《关于开展2023年度财政支出绩效自评工作的通知》（岳君财〔2024〕25号）文件精神，我校认真开展了2023年度部门整体支出绩效自评工作，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成立绩效评价工作组，</w:t>
      </w:r>
      <w:r>
        <w:rPr>
          <w:rFonts w:hint="eastAsia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核查单位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基本支出、项目支出</w:t>
      </w:r>
      <w:r>
        <w:rPr>
          <w:rFonts w:hint="eastAsia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财务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账目</w:t>
      </w:r>
      <w:r>
        <w:rPr>
          <w:rFonts w:hint="eastAsia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和报表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，收集整理支出相关资料，根据各部门（股室）报送的绩效自评材料进行</w:t>
      </w:r>
      <w:r>
        <w:rPr>
          <w:rFonts w:hint="eastAsia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了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分析、总结</w:t>
      </w:r>
      <w:r>
        <w:rPr>
          <w:rFonts w:hint="eastAsia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现将我单位整体支出绩效自评结果报告如下：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一、单位基本情况</w:t>
      </w:r>
    </w:p>
    <w:p>
      <w:pPr>
        <w:adjustRightInd w:val="0"/>
        <w:snapToGrid w:val="0"/>
        <w:spacing w:line="360" w:lineRule="auto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　　（一）职能职责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在区教育局的领导和指导下，实施高中学历教育，促进基础教育发展。负责本学校教师、学生以及德育、教学、教研、后勤、招生、学籍、财物等管理。拟订学校教育发展规划，贯彻执行党和国家的教育方针、政策、法规。保障学生平等权益，促进学生全面发展，引领教师专业成长，研究高考制度改革，提升教育教学质量，优化校园育人环境，建设现代学校制度。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（二）机构设置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bCs/>
          <w:sz w:val="30"/>
          <w:szCs w:val="30"/>
        </w:rPr>
      </w:pPr>
      <w:r>
        <w:rPr>
          <w:rFonts w:hint="eastAsia" w:eastAsia="仿宋" w:cs="仿宋"/>
          <w:bCs/>
          <w:sz w:val="30"/>
          <w:szCs w:val="30"/>
        </w:rPr>
        <w:t>岳阳市第十六中学为君山区教育局所属公益一类事业单位，经费形式为财政全额拨款。学校核定编制数</w:t>
      </w:r>
      <w:r>
        <w:rPr>
          <w:rFonts w:eastAsia="仿宋" w:cs="仿宋"/>
          <w:bCs/>
          <w:sz w:val="30"/>
          <w:szCs w:val="30"/>
        </w:rPr>
        <w:t>156名，2023年末实有在职人数</w:t>
      </w:r>
      <w:r>
        <w:rPr>
          <w:rFonts w:hint="eastAsia" w:eastAsia="仿宋" w:cs="仿宋"/>
          <w:bCs/>
          <w:sz w:val="30"/>
          <w:szCs w:val="30"/>
        </w:rPr>
        <w:t>156</w:t>
      </w:r>
      <w:r>
        <w:rPr>
          <w:rFonts w:eastAsia="仿宋" w:cs="仿宋"/>
          <w:bCs/>
          <w:sz w:val="30"/>
          <w:szCs w:val="30"/>
        </w:rPr>
        <w:t>人，退休人员</w:t>
      </w:r>
      <w:r>
        <w:rPr>
          <w:rFonts w:hint="eastAsia" w:eastAsia="仿宋" w:cs="仿宋"/>
          <w:bCs/>
          <w:sz w:val="30"/>
          <w:szCs w:val="30"/>
        </w:rPr>
        <w:t>43</w:t>
      </w:r>
      <w:r>
        <w:rPr>
          <w:rFonts w:eastAsia="仿宋" w:cs="仿宋"/>
          <w:bCs/>
          <w:sz w:val="30"/>
          <w:szCs w:val="30"/>
        </w:rPr>
        <w:t>人。现有教学班36个，学生1694人。岳阳市第十六中学设置了校长室、办公室、党建中心、教学中心、教务中心、后勤中心、财务中心、工会、信息技术中心、团委10个内设机构。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二、一般公共预算支出情况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（一）基本支出情况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2023年基本支出为</w:t>
      </w:r>
      <w:r>
        <w:rPr>
          <w:rFonts w:eastAsia="仿宋" w:cs="仿宋"/>
          <w:sz w:val="30"/>
          <w:szCs w:val="30"/>
        </w:rPr>
        <w:t>4169.74</w:t>
      </w:r>
      <w:r>
        <w:rPr>
          <w:rFonts w:hint="eastAsia" w:eastAsia="仿宋" w:cs="仿宋"/>
          <w:sz w:val="30"/>
          <w:szCs w:val="30"/>
        </w:rPr>
        <w:t>万元，是指为保障单位机构正常运转、完成日常工作任务而发生的各项支出，包括用于基本工资、津贴补贴等人员经费以及办公费、印刷费、水电费、差旅费等日常公用经费。其中：工资福利支出</w:t>
      </w:r>
      <w:r>
        <w:rPr>
          <w:rFonts w:eastAsia="仿宋" w:cs="仿宋"/>
          <w:sz w:val="30"/>
          <w:szCs w:val="30"/>
        </w:rPr>
        <w:t>3487</w:t>
      </w:r>
      <w:r>
        <w:rPr>
          <w:rFonts w:hint="eastAsia" w:eastAsia="仿宋" w:cs="仿宋"/>
          <w:sz w:val="30"/>
          <w:szCs w:val="30"/>
        </w:rPr>
        <w:t>.</w:t>
      </w:r>
      <w:r>
        <w:rPr>
          <w:rFonts w:eastAsia="仿宋" w:cs="仿宋"/>
          <w:sz w:val="30"/>
          <w:szCs w:val="30"/>
        </w:rPr>
        <w:t>9</w:t>
      </w:r>
      <w:r>
        <w:rPr>
          <w:rFonts w:hint="eastAsia" w:eastAsia="仿宋" w:cs="仿宋"/>
          <w:sz w:val="30"/>
          <w:szCs w:val="30"/>
        </w:rPr>
        <w:t>5万元；商品和服务支出</w:t>
      </w:r>
      <w:r>
        <w:rPr>
          <w:rFonts w:eastAsia="仿宋" w:cs="仿宋"/>
          <w:sz w:val="30"/>
          <w:szCs w:val="30"/>
        </w:rPr>
        <w:t>545</w:t>
      </w:r>
      <w:r>
        <w:rPr>
          <w:rFonts w:hint="eastAsia" w:eastAsia="仿宋" w:cs="仿宋"/>
          <w:sz w:val="30"/>
          <w:szCs w:val="30"/>
        </w:rPr>
        <w:t>.</w:t>
      </w:r>
      <w:r>
        <w:rPr>
          <w:rFonts w:eastAsia="仿宋" w:cs="仿宋"/>
          <w:sz w:val="30"/>
          <w:szCs w:val="30"/>
        </w:rPr>
        <w:t>99</w:t>
      </w:r>
      <w:r>
        <w:rPr>
          <w:rFonts w:hint="eastAsia" w:eastAsia="仿宋" w:cs="仿宋"/>
          <w:sz w:val="30"/>
          <w:szCs w:val="30"/>
        </w:rPr>
        <w:t>万元；对个人和家庭的补助</w:t>
      </w:r>
      <w:r>
        <w:rPr>
          <w:rFonts w:eastAsia="仿宋" w:cs="仿宋"/>
          <w:sz w:val="30"/>
          <w:szCs w:val="30"/>
        </w:rPr>
        <w:t>131</w:t>
      </w:r>
      <w:r>
        <w:rPr>
          <w:rFonts w:hint="eastAsia" w:eastAsia="仿宋" w:cs="仿宋"/>
          <w:sz w:val="30"/>
          <w:szCs w:val="30"/>
        </w:rPr>
        <w:t>.</w:t>
      </w:r>
      <w:r>
        <w:rPr>
          <w:rFonts w:eastAsia="仿宋" w:cs="仿宋"/>
          <w:sz w:val="30"/>
          <w:szCs w:val="30"/>
        </w:rPr>
        <w:t>7</w:t>
      </w:r>
      <w:r>
        <w:rPr>
          <w:rFonts w:hint="eastAsia" w:eastAsia="仿宋" w:cs="仿宋"/>
          <w:sz w:val="30"/>
          <w:szCs w:val="30"/>
        </w:rPr>
        <w:t>4万元；资本性支出4.06万元。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（二）项目支出情况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2023年项目支出为404.98万元，是指单位为完成特定行政工作任务或事业发展目标而发生的支出，包括有关业务工作经费等。其中：工资福利支出3.79</w:t>
      </w:r>
      <w:r>
        <w:rPr>
          <w:rFonts w:eastAsia="仿宋" w:cs="仿宋"/>
          <w:sz w:val="30"/>
          <w:szCs w:val="30"/>
        </w:rPr>
        <w:t>万元；</w:t>
      </w:r>
      <w:r>
        <w:rPr>
          <w:rFonts w:hint="eastAsia" w:eastAsia="仿宋" w:cs="仿宋"/>
          <w:sz w:val="30"/>
          <w:szCs w:val="30"/>
        </w:rPr>
        <w:t>商品和服务支出</w:t>
      </w:r>
      <w:r>
        <w:rPr>
          <w:rFonts w:eastAsia="仿宋" w:cs="仿宋"/>
          <w:sz w:val="30"/>
          <w:szCs w:val="30"/>
        </w:rPr>
        <w:t>401</w:t>
      </w:r>
      <w:r>
        <w:rPr>
          <w:rFonts w:hint="eastAsia" w:eastAsia="仿宋" w:cs="仿宋"/>
          <w:sz w:val="30"/>
          <w:szCs w:val="30"/>
        </w:rPr>
        <w:t>.</w:t>
      </w:r>
      <w:r>
        <w:rPr>
          <w:rFonts w:eastAsia="仿宋" w:cs="仿宋"/>
          <w:sz w:val="30"/>
          <w:szCs w:val="30"/>
        </w:rPr>
        <w:t>1</w:t>
      </w:r>
      <w:r>
        <w:rPr>
          <w:rFonts w:hint="eastAsia" w:eastAsia="仿宋" w:cs="仿宋"/>
          <w:sz w:val="30"/>
          <w:szCs w:val="30"/>
        </w:rPr>
        <w:t>9万元；对个人和家庭补助支出0万。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三、政府性基金预算支出情况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2023年度本单位无政府性基金支出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四、国有资本经营预算支出情况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2023年度本单位无国有资本经营支出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五、社会保险基金预算支出情况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2023年度本单位无社会保险基金支出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六、部门整体支出绩效情况</w:t>
      </w:r>
    </w:p>
    <w:p>
      <w:pPr>
        <w:widowControl/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（一）绩效评价结果</w:t>
      </w:r>
    </w:p>
    <w:p>
      <w:pPr>
        <w:widowControl/>
        <w:adjustRightInd w:val="0"/>
        <w:snapToGrid w:val="0"/>
        <w:spacing w:line="360" w:lineRule="auto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　　对照《关于开展2023年度财政支出绩效自评工作的通知》（岳君财〔2024〕25号）文件要求，我单位从预算执行、预算管理、履职效能、社会效应等方面对2023年部门整体支出绩效开展了评价。绩效自评综合得分为98分，评价等级为“优”。</w:t>
      </w:r>
    </w:p>
    <w:p>
      <w:pPr>
        <w:widowControl/>
        <w:adjustRightInd w:val="0"/>
        <w:snapToGrid w:val="0"/>
        <w:spacing w:line="360" w:lineRule="auto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　　（二）年度绩效目标完成情况</w:t>
      </w:r>
    </w:p>
    <w:p>
      <w:pPr>
        <w:adjustRightInd w:val="0"/>
        <w:snapToGrid w:val="0"/>
        <w:spacing w:line="360" w:lineRule="auto"/>
        <w:ind w:firstLine="640" w:firstLineChars="200"/>
        <w:rPr>
          <w:rFonts w:eastAsia="仿宋" w:cs="仿宋"/>
          <w:sz w:val="32"/>
          <w:szCs w:val="32"/>
        </w:rPr>
      </w:pPr>
      <w:r>
        <w:rPr>
          <w:rFonts w:hint="eastAsia" w:eastAsia="仿宋" w:cs="仿宋"/>
          <w:sz w:val="32"/>
          <w:szCs w:val="32"/>
        </w:rPr>
        <w:t>通过绩效评价工作组对全部项目的实施情况进行了整体跟踪，从项目安排、实施、资金的拨付进行了综合评价，认为教育资金项目任务目标明确，资金到位比较及时，并制定了科学的实施计划，项目实施过程中严格按照有关项目管理和经费管理规定执行，项目持续稳定进展，具有较好的经济和社会效益。单位项目基础数据信息真实、资料收集齐全，每一个项目都有完整的资料，实施进度也基本达到上级的要求。目前项目已全部实施完成，学生、家长、人民群众都很满意。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七、存在的问题及原因分析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一是各相关部门股室对绩效评价工作的重要性认识有待进一步提高；二是项目支出绩效评价指标体系不完善，给考核评价及评分工作带来一定的困难。针对上述存在的问题，学校已作出工作要求，加强对项目开展的可行性、必要性做好充分调研，依据实际情况做好经费支出预算，制定合理的项目实施计划；项目实施前期，做好各项准备工作；在实施阶段，做好监督，跟踪管理；实施后及时总结自评。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八、下一步改进措施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（一）细化预算编制工作，认真做好预算的编制。进一步加强预算绩效管理意识，严格按照预算编制的相关制度和要求进行预算编制，优先保障固定性的、相对刚性的费用支出项目，进一步提高预算编制的科学性、严谨性和可控性。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（二）加强财务管理，严格财务审核。在费用报账支付时，按照预算编制时的金额和用途进行资金使用审核、列报支付、财务核算，杜绝超支现象的发生。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（三）加强绩效评价结果的应用，促进预算项目规范有序开展。将绩效评价结果及时通报承担工作任务的</w:t>
      </w:r>
      <w:r>
        <w:rPr>
          <w:rFonts w:hint="eastAsia" w:eastAsia="仿宋" w:cs="仿宋"/>
          <w:sz w:val="30"/>
          <w:szCs w:val="30"/>
          <w:lang w:eastAsia="zh-CN"/>
        </w:rPr>
        <w:t>部门（股室）</w:t>
      </w:r>
      <w:r>
        <w:rPr>
          <w:rFonts w:hint="eastAsia" w:eastAsia="仿宋" w:cs="仿宋"/>
          <w:sz w:val="30"/>
          <w:szCs w:val="30"/>
        </w:rPr>
        <w:t>，对于评价结果较好的项目予以支持，激励其更好地开展工作；对评价发现问题、达不到绩效目标或评价结果较差的项目予以纠正，充分发挥财政资金使用效益。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九、部门整体支出绩效自评结果拟应用和公开情况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一是从绩效自评结果来看，本单位部门整体支出绩效较好，建立了绩效评价与部门预算相结合的结果应用机制，采取项目预期绩效目标申报制度，强化评价结果在部门预算编制和执行中的应用，实现绩效评价结果在部门预算编制和执行中的应用，促进财政资金的合理分配与有效使用。二是根据预算绩效评价的有关规定，我将在区政府门户网站公开绩效自评报告。</w:t>
      </w:r>
    </w:p>
    <w:p>
      <w:pPr>
        <w:adjustRightInd w:val="0"/>
        <w:snapToGrid w:val="0"/>
        <w:spacing w:line="360" w:lineRule="auto"/>
        <w:ind w:firstLine="602" w:firstLineChars="200"/>
        <w:rPr>
          <w:rFonts w:eastAsia="仿宋" w:cs="仿宋"/>
          <w:b/>
          <w:bCs/>
          <w:sz w:val="30"/>
          <w:szCs w:val="30"/>
        </w:rPr>
      </w:pPr>
      <w:r>
        <w:rPr>
          <w:rFonts w:hint="eastAsia" w:eastAsia="仿宋" w:cs="仿宋"/>
          <w:b/>
          <w:bCs/>
          <w:sz w:val="30"/>
          <w:szCs w:val="30"/>
        </w:rPr>
        <w:t>十、其他需要说明的情况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无</w:t>
      </w:r>
    </w:p>
    <w:p>
      <w:pPr>
        <w:adjustRightInd w:val="0"/>
        <w:snapToGrid w:val="0"/>
        <w:spacing w:line="360" w:lineRule="auto"/>
        <w:rPr>
          <w:rFonts w:eastAsia="仿宋" w:cs="仿宋"/>
          <w:sz w:val="30"/>
          <w:szCs w:val="30"/>
        </w:rPr>
      </w:pPr>
    </w:p>
    <w:p>
      <w:pPr>
        <w:adjustRightInd w:val="0"/>
        <w:snapToGrid w:val="0"/>
        <w:spacing w:line="360" w:lineRule="auto"/>
        <w:rPr>
          <w:rFonts w:eastAsia="仿宋" w:cs="仿宋"/>
          <w:sz w:val="30"/>
          <w:szCs w:val="30"/>
        </w:rPr>
      </w:pPr>
      <w:bookmarkStart w:id="0" w:name="_GoBack"/>
      <w:bookmarkEnd w:id="0"/>
      <w:r>
        <w:rPr>
          <w:rFonts w:hint="eastAsia" w:eastAsia="仿宋" w:cs="仿宋"/>
          <w:sz w:val="30"/>
          <w:szCs w:val="30"/>
        </w:rPr>
        <w:t>附件：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1.部门整体支出绩效评价基础数据表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2.部门整体支出绩效自评表</w:t>
      </w:r>
    </w:p>
    <w:p>
      <w:pPr>
        <w:adjustRightInd w:val="0"/>
        <w:snapToGrid w:val="0"/>
        <w:spacing w:line="360" w:lineRule="auto"/>
        <w:ind w:firstLine="600" w:firstLineChars="200"/>
        <w:rPr>
          <w:rFonts w:eastAsia="仿宋" w:cs="仿宋"/>
          <w:sz w:val="30"/>
          <w:szCs w:val="30"/>
        </w:rPr>
      </w:pPr>
      <w:r>
        <w:rPr>
          <w:rFonts w:hint="eastAsia" w:eastAsia="仿宋" w:cs="仿宋"/>
          <w:sz w:val="30"/>
          <w:szCs w:val="30"/>
        </w:rPr>
        <w:t>3.项目支出绩效自评表（一个一级项目支出一张表）</w:t>
      </w:r>
    </w:p>
    <w:p>
      <w:pPr>
        <w:widowControl/>
        <w:spacing w:line="64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eastAsia="仿宋" w:cs="仿宋"/>
          <w:sz w:val="30"/>
          <w:szCs w:val="30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附件5</w:t>
      </w:r>
    </w:p>
    <w:p>
      <w:pPr>
        <w:spacing w:before="156" w:beforeLines="50" w:after="156" w:afterLines="50"/>
        <w:jc w:val="center"/>
        <w:rPr>
          <w:rFonts w:ascii="方正小标宋简体" w:hAnsi="方正小标宋简体" w:eastAsia="方正小标宋简体" w:cs="方正小标宋简体"/>
          <w:spacing w:val="-6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部门整体支出</w:t>
      </w:r>
      <w:r>
        <w:rPr>
          <w:rFonts w:hint="eastAsia" w:ascii="方正小标宋简体" w:hAnsi="方正小标宋简体" w:eastAsia="方正小标宋简体" w:cs="方正小标宋简体"/>
          <w:spacing w:val="-6"/>
          <w:sz w:val="36"/>
          <w:szCs w:val="36"/>
        </w:rPr>
        <w:t>绩效自评工作考核评分表</w:t>
      </w:r>
    </w:p>
    <w:tbl>
      <w:tblPr>
        <w:tblStyle w:val="4"/>
        <w:tblW w:w="99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180"/>
        <w:gridCol w:w="5029"/>
        <w:gridCol w:w="30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tblHeader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sz w:val="21"/>
                <w:szCs w:val="21"/>
              </w:rPr>
            </w:pPr>
            <w:r>
              <w:rPr>
                <w:rFonts w:ascii="Times New Roman" w:hAnsi="Times New Roman" w:eastAsia="黑体"/>
                <w:bCs/>
                <w:sz w:val="21"/>
                <w:szCs w:val="21"/>
              </w:rPr>
              <w:t>一级指标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sz w:val="21"/>
                <w:szCs w:val="21"/>
              </w:rPr>
            </w:pPr>
            <w:r>
              <w:rPr>
                <w:rFonts w:ascii="Times New Roman" w:hAnsi="Times New Roman" w:eastAsia="黑体"/>
                <w:bCs/>
                <w:sz w:val="21"/>
                <w:szCs w:val="21"/>
              </w:rPr>
              <w:t>二级指标</w:t>
            </w:r>
          </w:p>
        </w:tc>
        <w:tc>
          <w:tcPr>
            <w:tcW w:w="5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sz w:val="21"/>
                <w:szCs w:val="21"/>
              </w:rPr>
            </w:pPr>
            <w:r>
              <w:rPr>
                <w:rFonts w:ascii="Times New Roman" w:hAnsi="Times New Roman" w:eastAsia="黑体"/>
                <w:bCs/>
                <w:sz w:val="21"/>
                <w:szCs w:val="21"/>
              </w:rPr>
              <w:t>评分标准</w:t>
            </w:r>
          </w:p>
        </w:tc>
        <w:tc>
          <w:tcPr>
            <w:tcW w:w="3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黑体"/>
                <w:bCs/>
                <w:sz w:val="21"/>
                <w:szCs w:val="21"/>
              </w:rPr>
            </w:pPr>
            <w:r>
              <w:rPr>
                <w:rFonts w:ascii="Times New Roman" w:hAnsi="Times New Roman" w:eastAsia="黑体"/>
                <w:bCs/>
                <w:sz w:val="21"/>
                <w:szCs w:val="21"/>
              </w:rPr>
              <w:t>所需佐证材料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7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布置工作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  <w:p>
            <w:pPr>
              <w:spacing w:line="300" w:lineRule="exact"/>
              <w:jc w:val="lef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10分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自评通知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（8分）</w:t>
            </w:r>
          </w:p>
        </w:tc>
        <w:tc>
          <w:tcPr>
            <w:tcW w:w="5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印发绩效自评通知的得2分，否则不得分。</w:t>
            </w:r>
          </w:p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按照本规程规定，绩效自评通知包括自评范围、自评主要依据、自评主要内容、自评程序和步骤、有关要求等内容，并附有本通知要求的附件的，得6分；否则缺1项扣1分，最多扣6分。</w:t>
            </w:r>
          </w:p>
        </w:tc>
        <w:tc>
          <w:tcPr>
            <w:tcW w:w="3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绩效自评通知盖章的电子版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7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工作小组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（2分）</w:t>
            </w:r>
          </w:p>
        </w:tc>
        <w:tc>
          <w:tcPr>
            <w:tcW w:w="5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成立绩效自评工作小组的得2分，否则不得分。</w:t>
            </w:r>
          </w:p>
        </w:tc>
        <w:tc>
          <w:tcPr>
            <w:tcW w:w="3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本部门、本单位预算绩效管理领导小组/绩效评价工作小组有关文件盖章的电子版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7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实施评价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20分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单位自查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（10分）</w:t>
            </w:r>
          </w:p>
        </w:tc>
        <w:tc>
          <w:tcPr>
            <w:tcW w:w="5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市级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预算部门本级和所属单位都要开展绩效自查，转移支付项目单位都要开展绩效自查，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县、区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级主管部门都要汇总本区域转移支付情况；以上各项每发现一个单位没有做相应工作的，扣1分，最多扣10分。</w:t>
            </w:r>
          </w:p>
        </w:tc>
        <w:tc>
          <w:tcPr>
            <w:tcW w:w="3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转移支付项目单位名称和资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金情况清单</w:t>
            </w:r>
          </w:p>
          <w:p>
            <w:pPr>
              <w:numPr>
                <w:ilvl w:val="0"/>
                <w:numId w:val="1"/>
              </w:num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有转移支付资金的各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县区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主管部门汇总情况的盖章PDF版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7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提交报告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（10分）</w:t>
            </w:r>
          </w:p>
        </w:tc>
        <w:tc>
          <w:tcPr>
            <w:tcW w:w="806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按时向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市财政局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报送报告的得10分；每推迟一个工作日报送报告的扣1分，最多扣10分。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7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自评报告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70分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完整性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（15分）</w:t>
            </w:r>
          </w:p>
        </w:tc>
        <w:tc>
          <w:tcPr>
            <w:tcW w:w="8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绩效自评报告正文部分内容齐全的，得8分；否则每少一个部分扣2分，最多扣8分。</w:t>
            </w:r>
          </w:p>
          <w:p>
            <w:pPr>
              <w:jc w:val="lef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绩效自评报告附件部分内容齐全的，得7分；否则每少一个部分扣2分，最多扣7分。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  <w:jc w:val="center"/>
        </w:trPr>
        <w:tc>
          <w:tcPr>
            <w:tcW w:w="7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绩效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自评表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（20分）</w:t>
            </w:r>
          </w:p>
        </w:tc>
        <w:tc>
          <w:tcPr>
            <w:tcW w:w="8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1、部门整体支出和项目支出绩效指标反映产出、效益、服务对象满意度方面的指标和预算执行率的权重符合《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岳阳市市级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预算部门绩效自评操作规程》要求的，得5分，否则按比例扣除相应的分数。</w:t>
            </w:r>
          </w:p>
          <w:p>
            <w:pPr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2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部门整体支出和项目支出绩效指标全部细化到三级指标的，得5分；部分细化的，酌情扣分；没有细化的，不得分。</w:t>
            </w:r>
          </w:p>
          <w:p>
            <w:pPr>
              <w:jc w:val="lef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3</w:t>
            </w:r>
            <w:r>
              <w:rPr>
                <w:rFonts w:hint="eastAsia" w:ascii="Times New Roman" w:hAnsi="Times New Roman" w:eastAsia="仿宋_GB2312"/>
                <w:sz w:val="20"/>
                <w:szCs w:val="20"/>
              </w:rPr>
              <w:t>.</w:t>
            </w:r>
            <w:r>
              <w:rPr>
                <w:rFonts w:ascii="Times New Roman" w:hAnsi="Times New Roman" w:eastAsia="仿宋_GB2312"/>
                <w:sz w:val="20"/>
                <w:szCs w:val="20"/>
              </w:rPr>
              <w:t>部门整体支出和项目支出三级绩效指标内涵明确、具体、可衡量的得5分；突出核心指标，精简实用的得3分；指标与部门整体支出和项目支出密切相关，全面反映产出和效益的得2分；否则，每项酌情扣分，最多扣10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7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反映问</w:t>
            </w:r>
          </w:p>
          <w:p>
            <w:pPr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题情况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（20分）</w:t>
            </w:r>
          </w:p>
        </w:tc>
        <w:tc>
          <w:tcPr>
            <w:tcW w:w="8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从预算和预算绩效管理，部门履职效能，资金分配、使用和管理，资产和财务管理，政府采购等方面归纳问题、分析原因全面的，得20分；反映问题、分析原因较全面的，得16—18分；反映问题、分析原因不全面的，得13—15分；问题未归纳且过于简单的，得10—12分；只提出资金不足问题的不得分；其他情况酌情扣分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仿宋_GB2312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建议情况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（15分）</w:t>
            </w:r>
          </w:p>
        </w:tc>
        <w:tc>
          <w:tcPr>
            <w:tcW w:w="80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建议与问题对应且全面的得15分，建议比较全面的得12—14分，建议不全面的得9—11分，建议过于简单的得6—8分，只提出加大资金投入建议的不得分；其他情况酌情扣分。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合计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ascii="Times New Roman" w:hAnsi="Times New Roman" w:eastAsia="仿宋_GB2312"/>
                <w:sz w:val="20"/>
                <w:szCs w:val="20"/>
              </w:rPr>
              <w:t>100分</w:t>
            </w:r>
          </w:p>
        </w:tc>
        <w:tc>
          <w:tcPr>
            <w:tcW w:w="8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0"/>
                <w:szCs w:val="20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sz w:val="20"/>
                <w:szCs w:val="20"/>
              </w:rPr>
              <w:t>98</w:t>
            </w:r>
          </w:p>
        </w:tc>
      </w:tr>
    </w:tbl>
    <w:p/>
    <w:sectPr>
      <w:pgSz w:w="11906" w:h="16838"/>
      <w:pgMar w:top="1497" w:right="1576" w:bottom="1213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DF8822"/>
    <w:multiLevelType w:val="singleLevel"/>
    <w:tmpl w:val="5DDF882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NDA0MmFiMzUxYzJmZjM0YjZlMjUwMjcxYzRmYjQifQ=="/>
  </w:docVars>
  <w:rsids>
    <w:rsidRoot w:val="61B30999"/>
    <w:rsid w:val="002E7355"/>
    <w:rsid w:val="003D331A"/>
    <w:rsid w:val="004B2B21"/>
    <w:rsid w:val="005F4072"/>
    <w:rsid w:val="00606DF3"/>
    <w:rsid w:val="006C242D"/>
    <w:rsid w:val="00802DC8"/>
    <w:rsid w:val="008F7A12"/>
    <w:rsid w:val="00C05829"/>
    <w:rsid w:val="00D27431"/>
    <w:rsid w:val="06532730"/>
    <w:rsid w:val="099914F5"/>
    <w:rsid w:val="0CB905D1"/>
    <w:rsid w:val="0EE25329"/>
    <w:rsid w:val="154A4CEB"/>
    <w:rsid w:val="172736E1"/>
    <w:rsid w:val="1C6C7F21"/>
    <w:rsid w:val="1D413B98"/>
    <w:rsid w:val="2A151926"/>
    <w:rsid w:val="2B0476F0"/>
    <w:rsid w:val="2F762E67"/>
    <w:rsid w:val="34027E18"/>
    <w:rsid w:val="350C2438"/>
    <w:rsid w:val="3A611E60"/>
    <w:rsid w:val="3F1A6055"/>
    <w:rsid w:val="41807B75"/>
    <w:rsid w:val="53292C98"/>
    <w:rsid w:val="5BFE7BBD"/>
    <w:rsid w:val="5C294C3A"/>
    <w:rsid w:val="5CD21165"/>
    <w:rsid w:val="61B30999"/>
    <w:rsid w:val="65447698"/>
    <w:rsid w:val="6EFE1F56"/>
    <w:rsid w:val="74744A68"/>
    <w:rsid w:val="77961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宋体" w:cs="Times New Roman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rFonts w:hint="eastAsia"/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sz w:val="24"/>
    </w:r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3000</Words>
  <Characters>3147</Characters>
  <Lines>2</Lines>
  <Paragraphs>6</Paragraphs>
  <TotalTime>9</TotalTime>
  <ScaleCrop>false</ScaleCrop>
  <LinksUpToDate>false</LinksUpToDate>
  <CharactersWithSpaces>3156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2024-06-19T02:59:00Z</dcterms:created>
  <dc:creator>蔡智明</dc:creator>
  <cp:lastModifiedBy>蔡智明</cp:lastModifiedBy>
  <dcterms:modified xsi:type="dcterms:W3CDTF">2024-06-26T11:51:07Z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22A0638B0B9245D6B57CFD00DD454020_11</vt:lpwstr>
  </property>
</Properties>
</file>