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rPr>
        <w:t>附件</w:t>
      </w:r>
      <w:r>
        <w:rPr>
          <w:rFonts w:hint="eastAsia" w:ascii="黑体" w:hAnsi="黑体" w:eastAsia="黑体" w:cs="黑体"/>
          <w:sz w:val="32"/>
          <w:szCs w:val="32"/>
          <w:highlight w:val="none"/>
          <w:lang w:val="en-US" w:eastAsia="zh-CN"/>
        </w:rPr>
        <w:t>4</w:t>
      </w:r>
    </w:p>
    <w:p>
      <w:pPr>
        <w:jc w:val="center"/>
        <w:rPr>
          <w:rFonts w:hint="default" w:ascii="Times New Roman" w:hAnsi="Times New Roman" w:eastAsia="方正小标宋_GBK" w:cs="Times New Roman"/>
          <w:sz w:val="52"/>
          <w:szCs w:val="52"/>
          <w:highlight w:val="none"/>
        </w:rPr>
      </w:pPr>
    </w:p>
    <w:p>
      <w:pPr>
        <w:jc w:val="center"/>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202</w:t>
      </w:r>
      <w:r>
        <w:rPr>
          <w:rFonts w:hint="eastAsia" w:ascii="方正小标宋简体" w:hAnsi="方正小标宋简体" w:eastAsia="方正小标宋简体" w:cs="方正小标宋简体"/>
          <w:sz w:val="44"/>
          <w:szCs w:val="44"/>
          <w:highlight w:val="none"/>
          <w:lang w:val="en-US" w:eastAsia="zh-CN"/>
        </w:rPr>
        <w:t>3</w:t>
      </w:r>
      <w:r>
        <w:rPr>
          <w:rFonts w:hint="eastAsia" w:ascii="方正小标宋简体" w:hAnsi="方正小标宋简体" w:eastAsia="方正小标宋简体" w:cs="方正小标宋简体"/>
          <w:sz w:val="44"/>
          <w:szCs w:val="44"/>
          <w:highlight w:val="none"/>
        </w:rPr>
        <w:t>年度岳阳市君山区自然资源局部门整体支出绩效自评报告</w:t>
      </w:r>
    </w:p>
    <w:p>
      <w:pPr>
        <w:jc w:val="center"/>
        <w:rPr>
          <w:rFonts w:hint="default" w:ascii="Times New Roman" w:hAnsi="Times New Roman" w:eastAsia="方正小标宋_GBK" w:cs="Times New Roman"/>
          <w:b/>
          <w:sz w:val="52"/>
          <w:szCs w:val="5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黑体" w:cs="Times New Roman"/>
          <w:sz w:val="32"/>
          <w:szCs w:val="32"/>
          <w:highlight w:val="none"/>
        </w:rPr>
      </w:pPr>
    </w:p>
    <w:p>
      <w:pPr>
        <w:jc w:val="center"/>
        <w:rPr>
          <w:rFonts w:hint="default" w:ascii="Times New Roman" w:hAnsi="Times New Roman" w:eastAsia="黑体" w:cs="Times New Roman"/>
          <w:sz w:val="32"/>
          <w:szCs w:val="32"/>
          <w:highlight w:val="none"/>
        </w:rPr>
      </w:pPr>
    </w:p>
    <w:p>
      <w:pPr>
        <w:jc w:val="center"/>
        <w:rPr>
          <w:rFonts w:hint="default" w:ascii="Times New Roman" w:hAnsi="Times New Roman" w:eastAsia="黑体" w:cs="Times New Roman"/>
          <w:sz w:val="32"/>
          <w:szCs w:val="32"/>
          <w:highlight w:val="none"/>
        </w:rPr>
      </w:pPr>
    </w:p>
    <w:p>
      <w:pPr>
        <w:jc w:val="both"/>
        <w:rPr>
          <w:rFonts w:hint="default" w:ascii="Times New Roman" w:hAnsi="Times New Roman" w:eastAsia="黑体" w:cs="Times New Roman"/>
          <w:sz w:val="32"/>
          <w:szCs w:val="32"/>
          <w:highlight w:val="none"/>
        </w:rPr>
      </w:pPr>
    </w:p>
    <w:p>
      <w:pPr>
        <w:jc w:val="center"/>
        <w:rPr>
          <w:rFonts w:hint="default" w:ascii="Times New Roman" w:hAnsi="Times New Roman" w:eastAsia="黑体" w:cs="Times New Roman"/>
          <w:sz w:val="32"/>
          <w:szCs w:val="32"/>
          <w:highlight w:val="none"/>
        </w:rPr>
      </w:pPr>
    </w:p>
    <w:p>
      <w:pPr>
        <w:jc w:val="center"/>
        <w:rPr>
          <w:rFonts w:hint="default" w:ascii="Times New Roman" w:hAnsi="Times New Roman" w:eastAsia="黑体" w:cs="Times New Roman"/>
          <w:sz w:val="32"/>
          <w:szCs w:val="32"/>
          <w:highlight w:val="none"/>
        </w:rPr>
      </w:pPr>
    </w:p>
    <w:p>
      <w:pPr>
        <w:jc w:val="center"/>
        <w:rPr>
          <w:rFonts w:hint="default" w:ascii="Times New Roman" w:hAnsi="Times New Roman" w:eastAsia="黑体" w:cs="Times New Roman"/>
          <w:sz w:val="32"/>
          <w:szCs w:val="32"/>
          <w:highlight w:val="none"/>
        </w:rPr>
      </w:pPr>
    </w:p>
    <w:p>
      <w:pPr>
        <w:spacing w:line="600" w:lineRule="exact"/>
        <w:jc w:val="center"/>
        <w:rPr>
          <w:rFonts w:hint="default" w:ascii="Times New Roman" w:hAnsi="Times New Roman" w:eastAsia="仿宋_GB2312" w:cs="Times New Roman"/>
          <w:sz w:val="32"/>
          <w:szCs w:val="32"/>
          <w:highlight w:val="none"/>
          <w:u w:val="single"/>
        </w:rPr>
      </w:pPr>
      <w:r>
        <w:rPr>
          <w:rFonts w:hint="default" w:ascii="Times New Roman" w:hAnsi="Times New Roman" w:eastAsia="仿宋_GB2312" w:cs="Times New Roman"/>
          <w:sz w:val="32"/>
          <w:szCs w:val="32"/>
          <w:highlight w:val="none"/>
        </w:rPr>
        <w:t>部门（单位）名称：</w:t>
      </w:r>
      <w:r>
        <w:rPr>
          <w:rFonts w:hint="default" w:ascii="Times New Roman" w:hAnsi="Times New Roman" w:eastAsia="仿宋_GB2312" w:cs="Times New Roman"/>
          <w:sz w:val="32"/>
          <w:szCs w:val="32"/>
          <w:highlight w:val="none"/>
          <w:u w:val="single"/>
        </w:rPr>
        <w:t>（盖章）</w:t>
      </w:r>
    </w:p>
    <w:p>
      <w:pPr>
        <w:spacing w:line="600" w:lineRule="exact"/>
        <w:jc w:val="center"/>
        <w:rPr>
          <w:rFonts w:hint="default" w:ascii="Times New Roman" w:hAnsi="Times New Roman" w:eastAsia="楷体_GB2312" w:cs="Times New Roman"/>
          <w:sz w:val="32"/>
          <w:szCs w:val="32"/>
          <w:highlight w:val="none"/>
        </w:rPr>
      </w:pPr>
      <w:r>
        <w:rPr>
          <w:rFonts w:hint="eastAsia" w:ascii="Times New Roman" w:hAnsi="Times New Roman" w:eastAsia="楷体_GB2312" w:cs="Times New Roman"/>
          <w:sz w:val="32"/>
          <w:szCs w:val="32"/>
          <w:highlight w:val="none"/>
          <w:lang w:val="en-US" w:eastAsia="zh-CN"/>
        </w:rPr>
        <w:t>2024</w:t>
      </w:r>
      <w:r>
        <w:rPr>
          <w:rFonts w:hint="default" w:ascii="Times New Roman" w:hAnsi="Times New Roman" w:eastAsia="楷体_GB2312" w:cs="Times New Roman"/>
          <w:sz w:val="32"/>
          <w:szCs w:val="32"/>
          <w:highlight w:val="none"/>
        </w:rPr>
        <w:t>年</w:t>
      </w:r>
      <w:r>
        <w:rPr>
          <w:rFonts w:hint="eastAsia" w:ascii="Times New Roman" w:hAnsi="Times New Roman" w:eastAsia="楷体_GB2312" w:cs="Times New Roman"/>
          <w:sz w:val="32"/>
          <w:szCs w:val="32"/>
          <w:highlight w:val="none"/>
          <w:lang w:val="en-US" w:eastAsia="zh-CN"/>
        </w:rPr>
        <w:t>6</w:t>
      </w:r>
      <w:r>
        <w:rPr>
          <w:rFonts w:hint="default" w:ascii="Times New Roman" w:hAnsi="Times New Roman" w:eastAsia="楷体_GB2312" w:cs="Times New Roman"/>
          <w:sz w:val="32"/>
          <w:szCs w:val="32"/>
          <w:highlight w:val="none"/>
        </w:rPr>
        <w:t>月</w:t>
      </w:r>
      <w:r>
        <w:rPr>
          <w:rFonts w:hint="eastAsia" w:ascii="Times New Roman" w:hAnsi="Times New Roman" w:eastAsia="楷体_GB2312" w:cs="Times New Roman"/>
          <w:sz w:val="32"/>
          <w:szCs w:val="32"/>
          <w:highlight w:val="none"/>
          <w:lang w:val="en-US" w:eastAsia="zh-CN"/>
        </w:rPr>
        <w:t>20</w:t>
      </w:r>
      <w:r>
        <w:rPr>
          <w:rFonts w:hint="default" w:ascii="Times New Roman" w:hAnsi="Times New Roman" w:eastAsia="楷体_GB2312" w:cs="Times New Roman"/>
          <w:sz w:val="32"/>
          <w:szCs w:val="32"/>
          <w:highlight w:val="none"/>
        </w:rPr>
        <w:t>日</w:t>
      </w:r>
    </w:p>
    <w:p>
      <w:pPr>
        <w:jc w:val="center"/>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（此页为封面）</w:t>
      </w:r>
    </w:p>
    <w:p>
      <w:pPr>
        <w:jc w:val="center"/>
        <w:rPr>
          <w:rFonts w:hint="eastAsia" w:ascii="方正小标宋简体" w:hAnsi="方正小标宋简体" w:eastAsia="方正小标宋简体" w:cs="方正小标宋简体"/>
          <w:sz w:val="44"/>
          <w:szCs w:val="44"/>
          <w:highlight w:val="none"/>
        </w:rPr>
      </w:pPr>
      <w:r>
        <w:rPr>
          <w:rFonts w:hint="default" w:ascii="Times New Roman" w:hAnsi="Times New Roman" w:eastAsia="仿宋_GB2312" w:cs="Times New Roman"/>
          <w:sz w:val="32"/>
          <w:szCs w:val="32"/>
          <w:highlight w:val="none"/>
        </w:rPr>
        <w:br w:type="page"/>
      </w:r>
      <w:r>
        <w:rPr>
          <w:rFonts w:hint="eastAsia" w:ascii="方正小标宋简体" w:hAnsi="方正小标宋简体" w:eastAsia="方正小标宋简体" w:cs="方正小标宋简体"/>
          <w:sz w:val="44"/>
          <w:szCs w:val="44"/>
          <w:highlight w:val="none"/>
        </w:rPr>
        <w:t>202</w:t>
      </w:r>
      <w:r>
        <w:rPr>
          <w:rFonts w:hint="eastAsia" w:ascii="方正小标宋简体" w:hAnsi="方正小标宋简体" w:eastAsia="方正小标宋简体" w:cs="方正小标宋简体"/>
          <w:sz w:val="44"/>
          <w:szCs w:val="44"/>
          <w:highlight w:val="none"/>
          <w:lang w:val="en-US" w:eastAsia="zh-CN"/>
        </w:rPr>
        <w:t>3</w:t>
      </w:r>
      <w:r>
        <w:rPr>
          <w:rFonts w:hint="eastAsia" w:ascii="方正小标宋简体" w:hAnsi="方正小标宋简体" w:eastAsia="方正小标宋简体" w:cs="方正小标宋简体"/>
          <w:sz w:val="44"/>
          <w:szCs w:val="44"/>
          <w:highlight w:val="none"/>
        </w:rPr>
        <w:t>年度岳阳市君山区自然资源局部门整体支出绩效自评报告</w:t>
      </w:r>
    </w:p>
    <w:p>
      <w:pPr>
        <w:keepNext w:val="0"/>
        <w:keepLines w:val="0"/>
        <w:pageBreakBefore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_GB2312" w:cs="Times New Roman"/>
          <w:sz w:val="32"/>
          <w:szCs w:val="32"/>
          <w:highlight w:val="none"/>
        </w:rPr>
      </w:pPr>
    </w:p>
    <w:p>
      <w:pPr>
        <w:keepNext w:val="0"/>
        <w:keepLines w:val="0"/>
        <w:pageBreakBefore w:val="0"/>
        <w:numPr>
          <w:ilvl w:val="0"/>
          <w:numId w:val="1"/>
        </w:numPr>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部门（单位）基本情况</w:t>
      </w:r>
    </w:p>
    <w:p>
      <w:pPr>
        <w:keepNext w:val="0"/>
        <w:keepLines w:val="0"/>
        <w:pageBreakBefore w:val="0"/>
        <w:numPr>
          <w:ilvl w:val="0"/>
          <w:numId w:val="0"/>
        </w:numPr>
        <w:kinsoku/>
        <w:wordWrap/>
        <w:overflowPunct/>
        <w:topLinePunct w:val="0"/>
        <w:autoSpaceDE/>
        <w:autoSpaceDN/>
        <w:bidi w:val="0"/>
        <w:adjustRightInd/>
        <w:snapToGrid/>
        <w:spacing w:line="640" w:lineRule="exact"/>
        <w:ind w:firstLine="560" w:firstLineChars="200"/>
        <w:jc w:val="both"/>
        <w:textAlignment w:val="auto"/>
        <w:rPr>
          <w:rFonts w:hint="eastAsia" w:ascii="仿宋" w:hAnsi="仿宋" w:eastAsia="仿宋" w:cs="仿宋"/>
          <w:b w:val="0"/>
          <w:bCs w:val="0"/>
          <w:sz w:val="28"/>
          <w:szCs w:val="28"/>
          <w:highlight w:val="none"/>
        </w:rPr>
      </w:pPr>
      <w:r>
        <w:rPr>
          <w:rFonts w:hint="eastAsia" w:eastAsia="仿宋" w:cs="仿宋"/>
          <w:b w:val="0"/>
          <w:bCs w:val="0"/>
          <w:sz w:val="28"/>
          <w:szCs w:val="28"/>
          <w:highlight w:val="none"/>
          <w:lang w:eastAsia="zh-CN"/>
        </w:rPr>
        <w:t>（</w:t>
      </w:r>
      <w:r>
        <w:rPr>
          <w:rFonts w:hint="eastAsia" w:eastAsia="仿宋" w:cs="仿宋"/>
          <w:b w:val="0"/>
          <w:bCs w:val="0"/>
          <w:sz w:val="28"/>
          <w:szCs w:val="28"/>
          <w:highlight w:val="none"/>
          <w:lang w:val="en-US" w:eastAsia="zh-CN"/>
        </w:rPr>
        <w:t>一</w:t>
      </w:r>
      <w:r>
        <w:rPr>
          <w:rFonts w:hint="eastAsia" w:eastAsia="仿宋" w:cs="仿宋"/>
          <w:b w:val="0"/>
          <w:bCs w:val="0"/>
          <w:sz w:val="28"/>
          <w:szCs w:val="28"/>
          <w:highlight w:val="none"/>
          <w:lang w:eastAsia="zh-CN"/>
        </w:rPr>
        <w:t>）</w:t>
      </w:r>
      <w:r>
        <w:rPr>
          <w:rFonts w:hint="eastAsia" w:ascii="仿宋" w:hAnsi="仿宋" w:eastAsia="仿宋" w:cs="仿宋"/>
          <w:b w:val="0"/>
          <w:bCs w:val="0"/>
          <w:sz w:val="28"/>
          <w:szCs w:val="28"/>
          <w:highlight w:val="none"/>
        </w:rPr>
        <w:t>主要职能</w:t>
      </w:r>
    </w:p>
    <w:p>
      <w:pPr>
        <w:keepNext w:val="0"/>
        <w:keepLines w:val="0"/>
        <w:pageBreakBefore w:val="0"/>
        <w:numPr>
          <w:ilvl w:val="0"/>
          <w:numId w:val="0"/>
        </w:numPr>
        <w:kinsoku/>
        <w:wordWrap/>
        <w:overflowPunct/>
        <w:topLinePunct w:val="0"/>
        <w:autoSpaceDE/>
        <w:autoSpaceDN/>
        <w:bidi w:val="0"/>
        <w:adjustRightInd/>
        <w:snapToGrid/>
        <w:spacing w:line="640" w:lineRule="exact"/>
        <w:ind w:firstLine="560" w:firstLineChars="200"/>
        <w:jc w:val="both"/>
        <w:textAlignment w:val="auto"/>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rPr>
        <w:t>依法履行全民所有土地、矿产、森林、湿地、水等自然资源资产所有者职责和国土空间用途管制职责。负责辖区内自然资源确认登记管理、国土空间用途管制管理、工程管理、村镇规划管理、耕地保护监督管理、国土空间生态修复管理、地质灾害和矿产资源管理、自然资源和规划法制管理，根据授权委托，具体承办辖区内违反自然资源和规划法律法规规章的违法案件的调查取证工作。</w:t>
      </w:r>
    </w:p>
    <w:p>
      <w:pPr>
        <w:keepNext w:val="0"/>
        <w:keepLines w:val="0"/>
        <w:pageBreakBefore w:val="0"/>
        <w:numPr>
          <w:ilvl w:val="0"/>
          <w:numId w:val="0"/>
        </w:numPr>
        <w:kinsoku/>
        <w:wordWrap/>
        <w:overflowPunct/>
        <w:topLinePunct w:val="0"/>
        <w:autoSpaceDE/>
        <w:autoSpaceDN/>
        <w:bidi w:val="0"/>
        <w:adjustRightInd/>
        <w:snapToGrid/>
        <w:spacing w:line="640" w:lineRule="exact"/>
        <w:ind w:firstLine="560" w:firstLineChars="200"/>
        <w:jc w:val="both"/>
        <w:textAlignment w:val="auto"/>
        <w:rPr>
          <w:rFonts w:hint="default"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eastAsia="zh-CN"/>
        </w:rPr>
        <w:t>（</w:t>
      </w:r>
      <w:r>
        <w:rPr>
          <w:rFonts w:hint="eastAsia" w:ascii="仿宋" w:hAnsi="仿宋" w:eastAsia="仿宋" w:cs="仿宋"/>
          <w:b w:val="0"/>
          <w:bCs w:val="0"/>
          <w:sz w:val="28"/>
          <w:szCs w:val="28"/>
          <w:highlight w:val="none"/>
          <w:lang w:val="en-US" w:eastAsia="zh-CN"/>
        </w:rPr>
        <w:t>二</w:t>
      </w:r>
      <w:r>
        <w:rPr>
          <w:rFonts w:hint="eastAsia" w:ascii="仿宋" w:hAnsi="仿宋" w:eastAsia="仿宋" w:cs="仿宋"/>
          <w:b w:val="0"/>
          <w:bCs w:val="0"/>
          <w:sz w:val="28"/>
          <w:szCs w:val="28"/>
          <w:highlight w:val="none"/>
          <w:lang w:eastAsia="zh-CN"/>
        </w:rPr>
        <w:t>）截止2023年底，岳阳市君山区自然资源局年末实有在职人员35人，其中行政人员12人、参照公务员法管理事业人员23人、事业人员0人。2022年年末实有在职人数为42人，今年相比上年变化为9人。单位管理的离休人员为0人、退休人员为17人。在职人员变动原因为岳阳市君山区自然资源局属于2023年度人员调出与退休较调入人数多。退休人员变动原因为3人达到退休年龄正常退休，增加了退休人员数量。</w:t>
      </w:r>
    </w:p>
    <w:p>
      <w:pPr>
        <w:pStyle w:val="4"/>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二、一般公共预算支出情况</w:t>
      </w:r>
    </w:p>
    <w:p>
      <w:pPr>
        <w:pStyle w:val="4"/>
        <w:keepNext w:val="0"/>
        <w:keepLines w:val="0"/>
        <w:pageBreakBefore w:val="0"/>
        <w:widowControl/>
        <w:kinsoku/>
        <w:wordWrap/>
        <w:overflowPunct/>
        <w:topLinePunct w:val="0"/>
        <w:autoSpaceDE/>
        <w:autoSpaceDN/>
        <w:bidi w:val="0"/>
        <w:adjustRightInd/>
        <w:snapToGrid/>
        <w:spacing w:line="640" w:lineRule="exact"/>
        <w:ind w:firstLine="643" w:firstLineChars="200"/>
        <w:jc w:val="both"/>
        <w:textAlignment w:val="auto"/>
        <w:rPr>
          <w:rFonts w:hint="default" w:ascii="Times New Roman" w:hAnsi="Times New Roman" w:eastAsia="楷体_GB2312" w:cs="Times New Roman"/>
          <w:b/>
          <w:sz w:val="32"/>
          <w:szCs w:val="32"/>
          <w:highlight w:val="none"/>
        </w:rPr>
      </w:pPr>
      <w:r>
        <w:rPr>
          <w:rFonts w:hint="default" w:ascii="Times New Roman" w:hAnsi="Times New Roman" w:eastAsia="楷体_GB2312" w:cs="Times New Roman"/>
          <w:b/>
          <w:sz w:val="32"/>
          <w:szCs w:val="32"/>
          <w:highlight w:val="none"/>
        </w:rPr>
        <w:t>（一）基本支出情况</w:t>
      </w:r>
    </w:p>
    <w:p>
      <w:pPr>
        <w:keepNext w:val="0"/>
        <w:keepLines w:val="0"/>
        <w:pageBreakBefore w:val="0"/>
        <w:numPr>
          <w:ilvl w:val="0"/>
          <w:numId w:val="0"/>
        </w:numPr>
        <w:kinsoku/>
        <w:wordWrap/>
        <w:overflowPunct/>
        <w:topLinePunct w:val="0"/>
        <w:autoSpaceDE/>
        <w:autoSpaceDN/>
        <w:bidi w:val="0"/>
        <w:adjustRightInd/>
        <w:snapToGrid/>
        <w:spacing w:line="640" w:lineRule="exact"/>
        <w:ind w:firstLine="560" w:firstLineChars="200"/>
        <w:jc w:val="both"/>
        <w:textAlignment w:val="auto"/>
        <w:rPr>
          <w:rFonts w:hint="default" w:eastAsia="仿宋" w:cs="仿宋"/>
          <w:b w:val="0"/>
          <w:bCs w:val="0"/>
          <w:sz w:val="28"/>
          <w:szCs w:val="28"/>
          <w:highlight w:val="none"/>
          <w:lang w:val="en-US" w:eastAsia="zh-CN"/>
        </w:rPr>
      </w:pPr>
      <w:r>
        <w:rPr>
          <w:rFonts w:hint="default" w:ascii="仿宋" w:hAnsi="仿宋" w:eastAsia="仿宋" w:cs="仿宋"/>
          <w:b w:val="0"/>
          <w:bCs w:val="0"/>
          <w:sz w:val="28"/>
          <w:szCs w:val="28"/>
          <w:highlight w:val="none"/>
          <w:lang w:eastAsia="zh-CN"/>
        </w:rPr>
        <w:t>2023年</w:t>
      </w:r>
      <w:r>
        <w:rPr>
          <w:rFonts w:hint="eastAsia" w:eastAsia="仿宋" w:cs="仿宋"/>
          <w:b w:val="0"/>
          <w:bCs w:val="0"/>
          <w:sz w:val="28"/>
          <w:szCs w:val="28"/>
          <w:highlight w:val="none"/>
          <w:lang w:val="en-US" w:eastAsia="zh-CN"/>
        </w:rPr>
        <w:t>度</w:t>
      </w:r>
      <w:r>
        <w:rPr>
          <w:rFonts w:hint="default" w:ascii="仿宋" w:hAnsi="仿宋" w:eastAsia="仿宋" w:cs="仿宋"/>
          <w:b w:val="0"/>
          <w:bCs w:val="0"/>
          <w:sz w:val="28"/>
          <w:szCs w:val="28"/>
          <w:highlight w:val="none"/>
          <w:lang w:eastAsia="zh-CN"/>
        </w:rPr>
        <w:t>基本支出687.17万元（人员经费619.61万元、公用经费67.56万元）</w:t>
      </w:r>
      <w:r>
        <w:rPr>
          <w:rFonts w:hint="eastAsia" w:eastAsia="仿宋" w:cs="仿宋"/>
          <w:b w:val="0"/>
          <w:bCs w:val="0"/>
          <w:sz w:val="28"/>
          <w:szCs w:val="28"/>
          <w:highlight w:val="none"/>
          <w:lang w:eastAsia="zh-CN"/>
        </w:rPr>
        <w:t>。</w:t>
      </w:r>
      <w:r>
        <w:rPr>
          <w:rFonts w:hint="eastAsia" w:eastAsia="仿宋" w:cs="仿宋"/>
          <w:b w:val="0"/>
          <w:bCs w:val="0"/>
          <w:sz w:val="28"/>
          <w:szCs w:val="28"/>
          <w:highlight w:val="none"/>
          <w:lang w:val="en-US" w:eastAsia="zh-CN"/>
        </w:rPr>
        <w:t>主要为发放单位的</w:t>
      </w:r>
      <w:r>
        <w:rPr>
          <w:rFonts w:hint="default" w:eastAsia="仿宋" w:cs="仿宋"/>
          <w:b w:val="0"/>
          <w:bCs w:val="0"/>
          <w:sz w:val="28"/>
          <w:szCs w:val="28"/>
          <w:highlight w:val="none"/>
          <w:lang w:val="en-US" w:eastAsia="zh-CN"/>
        </w:rPr>
        <w:t>基本工资、津贴补贴、奖金、社会保障、对个人和家庭的补助等支出</w:t>
      </w:r>
      <w:r>
        <w:rPr>
          <w:rFonts w:hint="eastAsia" w:eastAsia="仿宋" w:cs="仿宋"/>
          <w:b w:val="0"/>
          <w:bCs w:val="0"/>
          <w:sz w:val="28"/>
          <w:szCs w:val="28"/>
          <w:highlight w:val="none"/>
          <w:lang w:val="en-US" w:eastAsia="zh-CN"/>
        </w:rPr>
        <w:t>，工资福利支出572.28万元、</w:t>
      </w:r>
      <w:r>
        <w:rPr>
          <w:rFonts w:hint="default" w:eastAsia="仿宋" w:cs="仿宋"/>
          <w:b w:val="0"/>
          <w:bCs w:val="0"/>
          <w:sz w:val="28"/>
          <w:szCs w:val="28"/>
          <w:highlight w:val="none"/>
          <w:lang w:val="en-US" w:eastAsia="zh-CN"/>
        </w:rPr>
        <w:t>商品和服务支出67.57万元、对个人和家庭的补助47.32万元</w:t>
      </w:r>
      <w:r>
        <w:rPr>
          <w:rFonts w:hint="eastAsia" w:eastAsia="仿宋" w:cs="仿宋"/>
          <w:b w:val="0"/>
          <w:bCs w:val="0"/>
          <w:sz w:val="28"/>
          <w:szCs w:val="28"/>
          <w:highlight w:val="none"/>
          <w:lang w:val="en-US" w:eastAsia="zh-CN"/>
        </w:rPr>
        <w:t>。</w:t>
      </w:r>
    </w:p>
    <w:p>
      <w:pPr>
        <w:pStyle w:val="4"/>
        <w:keepNext w:val="0"/>
        <w:keepLines w:val="0"/>
        <w:pageBreakBefore w:val="0"/>
        <w:widowControl/>
        <w:numPr>
          <w:ilvl w:val="0"/>
          <w:numId w:val="2"/>
        </w:numPr>
        <w:kinsoku/>
        <w:wordWrap/>
        <w:overflowPunct/>
        <w:topLinePunct w:val="0"/>
        <w:autoSpaceDE/>
        <w:autoSpaceDN/>
        <w:bidi w:val="0"/>
        <w:adjustRightInd/>
        <w:snapToGrid/>
        <w:spacing w:line="640" w:lineRule="exact"/>
        <w:ind w:firstLine="643" w:firstLineChars="200"/>
        <w:jc w:val="both"/>
        <w:textAlignment w:val="auto"/>
        <w:rPr>
          <w:rFonts w:hint="default" w:ascii="Times New Roman" w:hAnsi="Times New Roman" w:eastAsia="楷体_GB2312" w:cs="Times New Roman"/>
          <w:b/>
          <w:sz w:val="32"/>
          <w:szCs w:val="32"/>
          <w:highlight w:val="none"/>
        </w:rPr>
      </w:pPr>
      <w:r>
        <w:rPr>
          <w:rFonts w:hint="default" w:ascii="Times New Roman" w:hAnsi="Times New Roman" w:eastAsia="楷体_GB2312" w:cs="Times New Roman"/>
          <w:b/>
          <w:sz w:val="32"/>
          <w:szCs w:val="32"/>
          <w:highlight w:val="none"/>
        </w:rPr>
        <w:t>项目支出情况</w:t>
      </w:r>
    </w:p>
    <w:p>
      <w:pPr>
        <w:pStyle w:val="4"/>
        <w:keepNext w:val="0"/>
        <w:keepLines w:val="0"/>
        <w:pageBreakBefore w:val="0"/>
        <w:widowControl/>
        <w:numPr>
          <w:ilvl w:val="0"/>
          <w:numId w:val="0"/>
        </w:numPr>
        <w:kinsoku/>
        <w:wordWrap/>
        <w:overflowPunct/>
        <w:topLinePunct w:val="0"/>
        <w:autoSpaceDE/>
        <w:autoSpaceDN/>
        <w:bidi w:val="0"/>
        <w:adjustRightInd/>
        <w:snapToGrid/>
        <w:spacing w:line="640" w:lineRule="exact"/>
        <w:ind w:firstLine="560" w:firstLineChars="200"/>
        <w:jc w:val="both"/>
        <w:textAlignment w:val="auto"/>
        <w:rPr>
          <w:rFonts w:hint="default" w:ascii="仿宋" w:hAnsi="仿宋" w:eastAsia="仿宋" w:cs="仿宋"/>
          <w:b w:val="0"/>
          <w:bCs w:val="0"/>
          <w:kern w:val="0"/>
          <w:sz w:val="28"/>
          <w:szCs w:val="28"/>
          <w:highlight w:val="none"/>
          <w:lang w:val="en-US" w:eastAsia="zh-CN" w:bidi="ar-SA"/>
        </w:rPr>
      </w:pPr>
      <w:r>
        <w:rPr>
          <w:rFonts w:hint="default" w:ascii="仿宋" w:hAnsi="仿宋" w:eastAsia="仿宋" w:cs="仿宋"/>
          <w:b w:val="0"/>
          <w:bCs w:val="0"/>
          <w:sz w:val="28"/>
          <w:szCs w:val="28"/>
          <w:highlight w:val="none"/>
          <w:lang w:eastAsia="zh-CN"/>
        </w:rPr>
        <w:t>2</w:t>
      </w:r>
      <w:r>
        <w:rPr>
          <w:rFonts w:hint="default" w:ascii="仿宋" w:hAnsi="仿宋" w:eastAsia="仿宋" w:cs="仿宋"/>
          <w:b w:val="0"/>
          <w:bCs w:val="0"/>
          <w:kern w:val="0"/>
          <w:sz w:val="28"/>
          <w:szCs w:val="28"/>
          <w:highlight w:val="none"/>
          <w:lang w:val="en-US" w:eastAsia="zh-CN" w:bidi="ar-SA"/>
        </w:rPr>
        <w:t>023年</w:t>
      </w:r>
      <w:r>
        <w:rPr>
          <w:rFonts w:hint="eastAsia" w:ascii="仿宋" w:hAnsi="仿宋" w:eastAsia="仿宋" w:cs="仿宋"/>
          <w:b w:val="0"/>
          <w:bCs w:val="0"/>
          <w:kern w:val="0"/>
          <w:sz w:val="28"/>
          <w:szCs w:val="28"/>
          <w:highlight w:val="none"/>
          <w:lang w:val="en-US" w:eastAsia="zh-CN" w:bidi="ar-SA"/>
        </w:rPr>
        <w:t>度</w:t>
      </w:r>
      <w:r>
        <w:rPr>
          <w:rFonts w:hint="default" w:ascii="仿宋" w:hAnsi="仿宋" w:eastAsia="仿宋" w:cs="仿宋"/>
          <w:b w:val="0"/>
          <w:bCs w:val="0"/>
          <w:kern w:val="0"/>
          <w:sz w:val="28"/>
          <w:szCs w:val="28"/>
          <w:highlight w:val="none"/>
          <w:lang w:val="en-US" w:eastAsia="zh-CN" w:bidi="ar-SA"/>
        </w:rPr>
        <w:t>项目支出879.36万元。项目支出为单位开展项目所支付的专项业务费用，其中专项业务费用870.36万元</w:t>
      </w:r>
      <w:r>
        <w:rPr>
          <w:rFonts w:hint="eastAsia" w:ascii="仿宋" w:hAnsi="仿宋" w:eastAsia="仿宋" w:cs="仿宋"/>
          <w:b w:val="0"/>
          <w:bCs w:val="0"/>
          <w:kern w:val="0"/>
          <w:sz w:val="28"/>
          <w:szCs w:val="28"/>
          <w:highlight w:val="none"/>
          <w:lang w:val="en-US" w:eastAsia="zh-CN" w:bidi="ar-SA"/>
        </w:rPr>
        <w:t>。</w:t>
      </w:r>
    </w:p>
    <w:p>
      <w:pPr>
        <w:pStyle w:val="4"/>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三、政府性基金预算支出情况</w:t>
      </w:r>
    </w:p>
    <w:p>
      <w:pPr>
        <w:pStyle w:val="4"/>
        <w:keepNext w:val="0"/>
        <w:keepLines w:val="0"/>
        <w:pageBreakBefore w:val="0"/>
        <w:widowControl/>
        <w:kinsoku/>
        <w:wordWrap/>
        <w:overflowPunct/>
        <w:topLinePunct w:val="0"/>
        <w:autoSpaceDE/>
        <w:autoSpaceDN/>
        <w:bidi w:val="0"/>
        <w:adjustRightInd/>
        <w:snapToGrid/>
        <w:spacing w:line="640" w:lineRule="exact"/>
        <w:ind w:firstLine="560" w:firstLineChars="200"/>
        <w:jc w:val="both"/>
        <w:textAlignment w:val="auto"/>
        <w:rPr>
          <w:rFonts w:hint="default" w:ascii="Times New Roman" w:hAnsi="Times New Roman" w:eastAsia="黑体" w:cs="Times New Roman"/>
          <w:sz w:val="32"/>
          <w:szCs w:val="32"/>
          <w:highlight w:val="none"/>
          <w:lang w:val="en-US" w:eastAsia="zh-CN"/>
        </w:rPr>
      </w:pPr>
      <w:r>
        <w:rPr>
          <w:rFonts w:hint="eastAsia" w:ascii="仿宋" w:hAnsi="仿宋" w:eastAsia="仿宋" w:cs="仿宋"/>
          <w:b w:val="0"/>
          <w:bCs w:val="0"/>
          <w:kern w:val="0"/>
          <w:sz w:val="28"/>
          <w:szCs w:val="28"/>
          <w:highlight w:val="none"/>
          <w:lang w:val="en-US" w:eastAsia="zh-CN" w:bidi="ar-SA"/>
        </w:rPr>
        <w:t>我单位2023年度无政府性基金预算支出。</w:t>
      </w:r>
    </w:p>
    <w:p>
      <w:pPr>
        <w:pStyle w:val="4"/>
        <w:keepNext w:val="0"/>
        <w:keepLines w:val="0"/>
        <w:pageBreakBefore w:val="0"/>
        <w:widowControl/>
        <w:numPr>
          <w:ilvl w:val="0"/>
          <w:numId w:val="3"/>
        </w:numPr>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国有资本经营预算支出情况</w:t>
      </w:r>
    </w:p>
    <w:p>
      <w:pPr>
        <w:pStyle w:val="4"/>
        <w:keepNext w:val="0"/>
        <w:keepLines w:val="0"/>
        <w:pageBreakBefore w:val="0"/>
        <w:widowControl/>
        <w:kinsoku/>
        <w:wordWrap/>
        <w:overflowPunct/>
        <w:topLinePunct w:val="0"/>
        <w:autoSpaceDE/>
        <w:autoSpaceDN/>
        <w:bidi w:val="0"/>
        <w:adjustRightInd/>
        <w:snapToGrid/>
        <w:spacing w:line="640" w:lineRule="exact"/>
        <w:ind w:firstLine="560" w:firstLineChars="200"/>
        <w:jc w:val="both"/>
        <w:textAlignment w:val="auto"/>
        <w:rPr>
          <w:rFonts w:hint="default" w:ascii="仿宋" w:hAnsi="仿宋" w:eastAsia="仿宋" w:cs="仿宋"/>
          <w:b w:val="0"/>
          <w:bCs w:val="0"/>
          <w:kern w:val="0"/>
          <w:sz w:val="28"/>
          <w:szCs w:val="28"/>
          <w:highlight w:val="none"/>
          <w:lang w:val="en-US" w:eastAsia="zh-CN" w:bidi="ar-SA"/>
        </w:rPr>
      </w:pPr>
      <w:r>
        <w:rPr>
          <w:rFonts w:hint="eastAsia" w:ascii="仿宋" w:hAnsi="仿宋" w:eastAsia="仿宋" w:cs="仿宋"/>
          <w:b w:val="0"/>
          <w:bCs w:val="0"/>
          <w:kern w:val="0"/>
          <w:sz w:val="28"/>
          <w:szCs w:val="28"/>
          <w:highlight w:val="none"/>
          <w:lang w:val="en-US" w:eastAsia="zh-CN" w:bidi="ar-SA"/>
        </w:rPr>
        <w:t>我单位2023年度无国有资本经营预算支出。</w:t>
      </w:r>
    </w:p>
    <w:p>
      <w:pPr>
        <w:pStyle w:val="4"/>
        <w:keepNext w:val="0"/>
        <w:keepLines w:val="0"/>
        <w:pageBreakBefore w:val="0"/>
        <w:widowControl/>
        <w:numPr>
          <w:ilvl w:val="0"/>
          <w:numId w:val="3"/>
        </w:numPr>
        <w:kinsoku/>
        <w:wordWrap/>
        <w:overflowPunct/>
        <w:topLinePunct w:val="0"/>
        <w:autoSpaceDE/>
        <w:autoSpaceDN/>
        <w:bidi w:val="0"/>
        <w:adjustRightInd/>
        <w:snapToGrid/>
        <w:spacing w:line="640" w:lineRule="exact"/>
        <w:ind w:left="0" w:leftChars="0"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社会保险基金预算支出情况</w:t>
      </w:r>
    </w:p>
    <w:p>
      <w:pPr>
        <w:pStyle w:val="4"/>
        <w:keepNext w:val="0"/>
        <w:keepLines w:val="0"/>
        <w:pageBreakBefore w:val="0"/>
        <w:widowControl/>
        <w:kinsoku/>
        <w:wordWrap/>
        <w:overflowPunct/>
        <w:topLinePunct w:val="0"/>
        <w:autoSpaceDE/>
        <w:autoSpaceDN/>
        <w:bidi w:val="0"/>
        <w:adjustRightInd/>
        <w:snapToGrid/>
        <w:spacing w:line="640" w:lineRule="exact"/>
        <w:ind w:firstLine="560" w:firstLineChars="200"/>
        <w:jc w:val="both"/>
        <w:textAlignment w:val="auto"/>
        <w:rPr>
          <w:rFonts w:hint="default" w:ascii="仿宋" w:hAnsi="仿宋" w:eastAsia="仿宋" w:cs="仿宋"/>
          <w:b w:val="0"/>
          <w:bCs w:val="0"/>
          <w:kern w:val="0"/>
          <w:sz w:val="28"/>
          <w:szCs w:val="28"/>
          <w:highlight w:val="none"/>
          <w:lang w:val="en-US" w:eastAsia="zh-CN" w:bidi="ar-SA"/>
        </w:rPr>
      </w:pPr>
      <w:r>
        <w:rPr>
          <w:rFonts w:hint="eastAsia" w:ascii="仿宋" w:hAnsi="仿宋" w:eastAsia="仿宋" w:cs="仿宋"/>
          <w:b w:val="0"/>
          <w:bCs w:val="0"/>
          <w:kern w:val="0"/>
          <w:sz w:val="28"/>
          <w:szCs w:val="28"/>
          <w:highlight w:val="none"/>
          <w:lang w:val="en-US" w:eastAsia="zh-CN" w:bidi="ar-SA"/>
        </w:rPr>
        <w:t>我单位2023年度无社会保险基金预算支出。</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六、部门整体支出绩效情况</w:t>
      </w:r>
    </w:p>
    <w:p>
      <w:pPr>
        <w:pStyle w:val="4"/>
        <w:keepNext w:val="0"/>
        <w:keepLines w:val="0"/>
        <w:pageBreakBefore w:val="0"/>
        <w:widowControl/>
        <w:kinsoku/>
        <w:wordWrap/>
        <w:overflowPunct/>
        <w:topLinePunct w:val="0"/>
        <w:autoSpaceDE/>
        <w:autoSpaceDN/>
        <w:bidi w:val="0"/>
        <w:adjustRightInd/>
        <w:snapToGrid/>
        <w:spacing w:line="640" w:lineRule="exact"/>
        <w:ind w:firstLine="560" w:firstLineChars="200"/>
        <w:jc w:val="both"/>
        <w:textAlignment w:val="auto"/>
        <w:rPr>
          <w:rFonts w:hint="default" w:ascii="仿宋" w:hAnsi="仿宋" w:eastAsia="仿宋" w:cs="仿宋"/>
          <w:b w:val="0"/>
          <w:bCs w:val="0"/>
          <w:kern w:val="0"/>
          <w:sz w:val="28"/>
          <w:szCs w:val="28"/>
          <w:highlight w:val="none"/>
          <w:lang w:val="en-US" w:eastAsia="zh-CN" w:bidi="ar-SA"/>
        </w:rPr>
      </w:pPr>
      <w:r>
        <w:rPr>
          <w:rFonts w:hint="default" w:ascii="仿宋" w:hAnsi="仿宋" w:eastAsia="仿宋" w:cs="仿宋"/>
          <w:b w:val="0"/>
          <w:bCs w:val="0"/>
          <w:kern w:val="0"/>
          <w:sz w:val="28"/>
          <w:szCs w:val="28"/>
          <w:highlight w:val="none"/>
          <w:lang w:val="en-US" w:eastAsia="zh-CN" w:bidi="ar-SA"/>
        </w:rPr>
        <w:t>2023年年初预算本年支出4870.96万元，其中：基本支出570.96万元（人员经费521.76万元、公用经费49.20万元），项目支出4300万元。本年支出决算数1566.53万元，其中：基本支出687.17万元（人员经费619.61万元、公用经费67.56万元），项目支出879.36万元。</w:t>
      </w:r>
    </w:p>
    <w:p>
      <w:pPr>
        <w:pStyle w:val="4"/>
        <w:keepNext w:val="0"/>
        <w:keepLines w:val="0"/>
        <w:pageBreakBefore w:val="0"/>
        <w:widowControl/>
        <w:kinsoku/>
        <w:wordWrap/>
        <w:overflowPunct/>
        <w:topLinePunct w:val="0"/>
        <w:autoSpaceDE/>
        <w:autoSpaceDN/>
        <w:bidi w:val="0"/>
        <w:adjustRightInd/>
        <w:snapToGrid/>
        <w:spacing w:line="640" w:lineRule="exact"/>
        <w:ind w:firstLine="560" w:firstLineChars="200"/>
        <w:jc w:val="both"/>
        <w:textAlignment w:val="auto"/>
        <w:rPr>
          <w:rFonts w:hint="eastAsia" w:ascii="仿宋" w:hAnsi="仿宋" w:eastAsia="仿宋" w:cs="仿宋"/>
          <w:b w:val="0"/>
          <w:bCs w:val="0"/>
          <w:kern w:val="0"/>
          <w:sz w:val="28"/>
          <w:szCs w:val="28"/>
          <w:highlight w:val="none"/>
          <w:lang w:val="en-US" w:eastAsia="zh-CN" w:bidi="ar-SA"/>
        </w:rPr>
      </w:pPr>
      <w:r>
        <w:rPr>
          <w:rFonts w:hint="eastAsia" w:ascii="仿宋" w:hAnsi="仿宋" w:eastAsia="仿宋" w:cs="仿宋"/>
          <w:b w:val="0"/>
          <w:bCs w:val="0"/>
          <w:kern w:val="0"/>
          <w:sz w:val="28"/>
          <w:szCs w:val="28"/>
          <w:highlight w:val="none"/>
          <w:lang w:val="en-US" w:eastAsia="zh-CN" w:bidi="ar-SA"/>
        </w:rPr>
        <w:t>2023年度，我局整体工作完成情况如下:</w:t>
      </w:r>
    </w:p>
    <w:p>
      <w:pPr>
        <w:pStyle w:val="4"/>
        <w:keepNext w:val="0"/>
        <w:keepLines w:val="0"/>
        <w:pageBreakBefore w:val="0"/>
        <w:widowControl/>
        <w:kinsoku/>
        <w:wordWrap/>
        <w:overflowPunct/>
        <w:topLinePunct w:val="0"/>
        <w:autoSpaceDE/>
        <w:autoSpaceDN/>
        <w:bidi w:val="0"/>
        <w:adjustRightInd/>
        <w:snapToGrid/>
        <w:spacing w:line="640" w:lineRule="exact"/>
        <w:ind w:firstLine="560" w:firstLineChars="200"/>
        <w:jc w:val="both"/>
        <w:textAlignment w:val="auto"/>
        <w:rPr>
          <w:rFonts w:hint="default" w:ascii="仿宋" w:hAnsi="仿宋" w:eastAsia="仿宋" w:cs="仿宋"/>
          <w:b w:val="0"/>
          <w:bCs w:val="0"/>
          <w:kern w:val="0"/>
          <w:sz w:val="28"/>
          <w:szCs w:val="28"/>
          <w:highlight w:val="none"/>
          <w:lang w:val="en-US" w:eastAsia="zh-CN" w:bidi="ar-SA"/>
        </w:rPr>
      </w:pPr>
    </w:p>
    <w:p>
      <w:pPr>
        <w:pStyle w:val="4"/>
        <w:keepNext w:val="0"/>
        <w:keepLines w:val="0"/>
        <w:pageBreakBefore w:val="0"/>
        <w:widowControl/>
        <w:kinsoku/>
        <w:wordWrap/>
        <w:overflowPunct/>
        <w:topLinePunct w:val="0"/>
        <w:autoSpaceDE/>
        <w:autoSpaceDN/>
        <w:bidi w:val="0"/>
        <w:adjustRightInd/>
        <w:snapToGrid/>
        <w:spacing w:line="640" w:lineRule="exact"/>
        <w:ind w:firstLine="562" w:firstLineChars="200"/>
        <w:jc w:val="both"/>
        <w:textAlignment w:val="auto"/>
        <w:rPr>
          <w:rFonts w:hint="default" w:ascii="仿宋" w:hAnsi="仿宋" w:eastAsia="仿宋" w:cs="仿宋"/>
          <w:b w:val="0"/>
          <w:bCs w:val="0"/>
          <w:kern w:val="0"/>
          <w:sz w:val="28"/>
          <w:szCs w:val="28"/>
          <w:highlight w:val="none"/>
          <w:lang w:val="en-US" w:eastAsia="zh-CN" w:bidi="ar-SA"/>
        </w:rPr>
      </w:pPr>
      <w:r>
        <w:rPr>
          <w:rFonts w:hint="eastAsia" w:ascii="仿宋" w:hAnsi="仿宋" w:eastAsia="仿宋" w:cs="仿宋"/>
          <w:b/>
          <w:bCs/>
          <w:kern w:val="0"/>
          <w:sz w:val="28"/>
          <w:szCs w:val="28"/>
          <w:highlight w:val="none"/>
          <w:lang w:val="en-US" w:eastAsia="zh-CN" w:bidi="ar-SA"/>
        </w:rPr>
        <w:t>1</w:t>
      </w:r>
      <w:r>
        <w:rPr>
          <w:rFonts w:hint="default" w:ascii="仿宋" w:hAnsi="仿宋" w:eastAsia="仿宋" w:cs="仿宋"/>
          <w:b/>
          <w:bCs/>
          <w:kern w:val="0"/>
          <w:sz w:val="28"/>
          <w:szCs w:val="28"/>
          <w:highlight w:val="none"/>
          <w:lang w:val="en-US" w:eastAsia="zh-CN" w:bidi="ar-SA"/>
        </w:rPr>
        <w:t>.强化规划引领，谋篇布局优空间。</w:t>
      </w:r>
      <w:r>
        <w:rPr>
          <w:rFonts w:hint="default" w:ascii="仿宋" w:hAnsi="仿宋" w:eastAsia="仿宋" w:cs="仿宋"/>
          <w:b w:val="0"/>
          <w:bCs w:val="0"/>
          <w:kern w:val="0"/>
          <w:sz w:val="28"/>
          <w:szCs w:val="28"/>
          <w:highlight w:val="none"/>
          <w:lang w:val="en-US" w:eastAsia="zh-CN" w:bidi="ar-SA"/>
        </w:rPr>
        <w:t>一是国土空间规划方面。配合市局完成了《岳阳市国土空间总体规划》级城镇开发边界优化调整工作；完成钱粮湖镇、良心堡镇、许市镇、广兴洲镇4个乡镇国土空间规划初步方案编制；二是有序推进村庄规划编制工作。完成我区52个村庄规划质量评估，扎实推进村庄规划质量提升，广兴洲沿江村村庄规划荣获湖南省村庄规划助力“和美乡村”首批优秀案例，濠河村被省厅评为规划编制二等奖，村庄规划被评为A类。三是坚持做好规划服务工作。主动服务，提前介入，开展了君山区客运站、君山区人民医院等重大项目规划调整工作，保障了一批项目落地。</w:t>
      </w:r>
    </w:p>
    <w:p>
      <w:pPr>
        <w:pStyle w:val="4"/>
        <w:keepNext w:val="0"/>
        <w:keepLines w:val="0"/>
        <w:pageBreakBefore w:val="0"/>
        <w:widowControl/>
        <w:kinsoku/>
        <w:wordWrap/>
        <w:overflowPunct/>
        <w:topLinePunct w:val="0"/>
        <w:autoSpaceDE/>
        <w:autoSpaceDN/>
        <w:bidi w:val="0"/>
        <w:adjustRightInd/>
        <w:snapToGrid/>
        <w:spacing w:line="640" w:lineRule="exact"/>
        <w:ind w:firstLine="562" w:firstLineChars="200"/>
        <w:jc w:val="both"/>
        <w:textAlignment w:val="auto"/>
        <w:rPr>
          <w:rFonts w:hint="default" w:ascii="仿宋" w:hAnsi="仿宋" w:eastAsia="仿宋" w:cs="仿宋"/>
          <w:b w:val="0"/>
          <w:bCs w:val="0"/>
          <w:kern w:val="0"/>
          <w:sz w:val="28"/>
          <w:szCs w:val="28"/>
          <w:highlight w:val="none"/>
          <w:lang w:val="en-US" w:eastAsia="zh-CN" w:bidi="ar-SA"/>
        </w:rPr>
      </w:pPr>
      <w:r>
        <w:rPr>
          <w:rFonts w:hint="eastAsia" w:ascii="仿宋" w:hAnsi="仿宋" w:eastAsia="仿宋" w:cs="仿宋"/>
          <w:b/>
          <w:bCs/>
          <w:kern w:val="0"/>
          <w:sz w:val="28"/>
          <w:szCs w:val="28"/>
          <w:highlight w:val="none"/>
          <w:lang w:val="en-US" w:eastAsia="zh-CN" w:bidi="ar-SA"/>
        </w:rPr>
        <w:t>2</w:t>
      </w:r>
      <w:r>
        <w:rPr>
          <w:rFonts w:hint="default" w:ascii="仿宋" w:hAnsi="仿宋" w:eastAsia="仿宋" w:cs="仿宋"/>
          <w:b/>
          <w:bCs/>
          <w:kern w:val="0"/>
          <w:sz w:val="28"/>
          <w:szCs w:val="28"/>
          <w:highlight w:val="none"/>
          <w:lang w:val="en-US" w:eastAsia="zh-CN" w:bidi="ar-SA"/>
        </w:rPr>
        <w:t>.深化服务保障，助推发展活经济。</w:t>
      </w:r>
      <w:r>
        <w:rPr>
          <w:rFonts w:hint="default" w:ascii="仿宋" w:hAnsi="仿宋" w:eastAsia="仿宋" w:cs="仿宋"/>
          <w:b w:val="0"/>
          <w:bCs w:val="0"/>
          <w:kern w:val="0"/>
          <w:sz w:val="28"/>
          <w:szCs w:val="28"/>
          <w:highlight w:val="none"/>
          <w:lang w:val="en-US" w:eastAsia="zh-CN" w:bidi="ar-SA"/>
        </w:rPr>
        <w:t>一是持续优化营商环境。优化便民利民服务举措,开展导诊式服务，由专人负责对接受理、专岗审核。推进入企送政策、上门解难题、无午休服务等，为办事群众和企业提供“保姆式”政务服务。2023年以来已提供邮寄服务16次，上门服务4次，延时服务92次。二是持续优化登记服务。 积极推进“互联网+”不动产登记，新建商品房业务全部转为网上办理，同时预备在登记大厅设立网办自助服务区。实现抵押登记“不见面审批”。推广在线抵押办理，提升了群众获得感和满意率。全年收到群众表扬信33封、赠送锦旗6面</w:t>
      </w:r>
      <w:r>
        <w:rPr>
          <w:rFonts w:hint="eastAsia" w:ascii="仿宋" w:hAnsi="仿宋" w:eastAsia="仿宋" w:cs="仿宋"/>
          <w:b w:val="0"/>
          <w:bCs w:val="0"/>
          <w:kern w:val="0"/>
          <w:sz w:val="28"/>
          <w:szCs w:val="28"/>
          <w:highlight w:val="none"/>
          <w:lang w:val="en-US" w:eastAsia="zh-CN" w:bidi="ar-SA"/>
        </w:rPr>
        <w:t>.</w:t>
      </w:r>
      <w:bookmarkStart w:id="0" w:name="_GoBack"/>
      <w:bookmarkEnd w:id="0"/>
    </w:p>
    <w:p>
      <w:pPr>
        <w:pStyle w:val="4"/>
        <w:keepNext w:val="0"/>
        <w:keepLines w:val="0"/>
        <w:pageBreakBefore w:val="0"/>
        <w:widowControl/>
        <w:kinsoku/>
        <w:wordWrap/>
        <w:overflowPunct/>
        <w:topLinePunct w:val="0"/>
        <w:autoSpaceDE/>
        <w:autoSpaceDN/>
        <w:bidi w:val="0"/>
        <w:adjustRightInd/>
        <w:snapToGrid/>
        <w:spacing w:line="640" w:lineRule="exact"/>
        <w:ind w:firstLine="562" w:firstLineChars="200"/>
        <w:jc w:val="both"/>
        <w:textAlignment w:val="auto"/>
        <w:rPr>
          <w:rFonts w:hint="default" w:ascii="仿宋" w:hAnsi="仿宋" w:eastAsia="仿宋" w:cs="仿宋"/>
          <w:b w:val="0"/>
          <w:bCs w:val="0"/>
          <w:kern w:val="0"/>
          <w:sz w:val="28"/>
          <w:szCs w:val="28"/>
          <w:highlight w:val="none"/>
          <w:lang w:val="en-US" w:eastAsia="zh-CN" w:bidi="ar-SA"/>
        </w:rPr>
      </w:pPr>
      <w:r>
        <w:rPr>
          <w:rFonts w:hint="eastAsia" w:ascii="仿宋" w:hAnsi="仿宋" w:eastAsia="仿宋" w:cs="仿宋"/>
          <w:b/>
          <w:bCs/>
          <w:kern w:val="0"/>
          <w:sz w:val="28"/>
          <w:szCs w:val="28"/>
          <w:highlight w:val="none"/>
          <w:lang w:val="en-US" w:eastAsia="zh-CN" w:bidi="ar-SA"/>
        </w:rPr>
        <w:t>3</w:t>
      </w:r>
      <w:r>
        <w:rPr>
          <w:rFonts w:hint="default" w:ascii="仿宋" w:hAnsi="仿宋" w:eastAsia="仿宋" w:cs="仿宋"/>
          <w:b/>
          <w:bCs/>
          <w:kern w:val="0"/>
          <w:sz w:val="28"/>
          <w:szCs w:val="28"/>
          <w:highlight w:val="none"/>
          <w:lang w:val="en-US" w:eastAsia="zh-CN" w:bidi="ar-SA"/>
        </w:rPr>
        <w:t>.严格督察执法，保护耕地守粮仓。</w:t>
      </w:r>
      <w:r>
        <w:rPr>
          <w:rFonts w:hint="default" w:ascii="仿宋" w:hAnsi="仿宋" w:eastAsia="仿宋" w:cs="仿宋"/>
          <w:b w:val="0"/>
          <w:bCs w:val="0"/>
          <w:kern w:val="0"/>
          <w:sz w:val="28"/>
          <w:szCs w:val="28"/>
          <w:highlight w:val="none"/>
          <w:lang w:val="en-US" w:eastAsia="zh-CN" w:bidi="ar-SA"/>
        </w:rPr>
        <w:t>全面抓实“田长制”各项规定动作，深化区级、镇级、村级和网格田长巡田，建立健全耕地问题早发现、早制止机制。重点抓好图斑整治、耕地恢复等工作任务，耕地保护工作取得良好成效，守牢了耕地保护红线。各级田长利用APP开展巡查19895次，巡查距离达到3万公里，巡田任务完成率近100%。田长制耕地保护工作获市先进单位，在全市自然资源会议作典型发言。耕地保护目标、永久基本农田、占补平衡和进出平衡、违法占用耕地等四个“一票否决”事项全部过关。耕地“非农化”“非粮化”整改任务117宗，整改销号107宗。补充耕地“春苗行动”排名全省第三。耕地恢复是全市排名第一。省厅通报新增违法1宗，仅去年同期的12.5%，整改率100%，省厅多次点名表扬君山。2023年耕地开发指标交易可达9000万元。中国自然资源报、湖南日报、新湖南、湖南自然资源厅官网等报道推介君山耕地保护上稿12篇。</w:t>
      </w:r>
    </w:p>
    <w:p>
      <w:pPr>
        <w:pStyle w:val="4"/>
        <w:keepNext w:val="0"/>
        <w:keepLines w:val="0"/>
        <w:pageBreakBefore w:val="0"/>
        <w:widowControl/>
        <w:kinsoku/>
        <w:wordWrap/>
        <w:overflowPunct/>
        <w:topLinePunct w:val="0"/>
        <w:autoSpaceDE/>
        <w:autoSpaceDN/>
        <w:bidi w:val="0"/>
        <w:adjustRightInd/>
        <w:snapToGrid/>
        <w:spacing w:line="640" w:lineRule="exact"/>
        <w:ind w:firstLine="562" w:firstLineChars="200"/>
        <w:jc w:val="both"/>
        <w:textAlignment w:val="auto"/>
        <w:rPr>
          <w:rFonts w:hint="default" w:ascii="仿宋" w:hAnsi="仿宋" w:eastAsia="仿宋" w:cs="仿宋"/>
          <w:b w:val="0"/>
          <w:bCs w:val="0"/>
          <w:kern w:val="0"/>
          <w:sz w:val="28"/>
          <w:szCs w:val="28"/>
          <w:highlight w:val="none"/>
          <w:lang w:val="en-US" w:eastAsia="zh-CN" w:bidi="ar-SA"/>
        </w:rPr>
      </w:pPr>
      <w:r>
        <w:rPr>
          <w:rFonts w:hint="eastAsia" w:ascii="仿宋" w:hAnsi="仿宋" w:eastAsia="仿宋" w:cs="仿宋"/>
          <w:b/>
          <w:bCs/>
          <w:kern w:val="0"/>
          <w:sz w:val="28"/>
          <w:szCs w:val="28"/>
          <w:highlight w:val="none"/>
          <w:lang w:val="en-US" w:eastAsia="zh-CN" w:bidi="ar-SA"/>
        </w:rPr>
        <w:t>4</w:t>
      </w:r>
      <w:r>
        <w:rPr>
          <w:rFonts w:hint="default" w:ascii="仿宋" w:hAnsi="仿宋" w:eastAsia="仿宋" w:cs="仿宋"/>
          <w:b/>
          <w:bCs/>
          <w:kern w:val="0"/>
          <w:sz w:val="28"/>
          <w:szCs w:val="28"/>
          <w:highlight w:val="none"/>
          <w:lang w:val="en-US" w:eastAsia="zh-CN" w:bidi="ar-SA"/>
        </w:rPr>
        <w:t>.聚焦要素保障，高效利用腾空间。</w:t>
      </w:r>
      <w:r>
        <w:rPr>
          <w:rFonts w:hint="default" w:ascii="仿宋" w:hAnsi="仿宋" w:eastAsia="仿宋" w:cs="仿宋"/>
          <w:b w:val="0"/>
          <w:bCs w:val="0"/>
          <w:kern w:val="0"/>
          <w:sz w:val="28"/>
          <w:szCs w:val="28"/>
          <w:highlight w:val="none"/>
          <w:lang w:val="en-US" w:eastAsia="zh-CN" w:bidi="ar-SA"/>
        </w:rPr>
        <w:t>一是强化存量土地处置。提前做好供地计划，建立“一地一策”工作台账，实行“挂图作战”和“红绿灯”预警，加快推进征地拆迁和土地供应。成立存量土地处置专班，加大遗留问题处理力度，制定“一地一策”“一企一策”的工作方案，逐项梳理园区企业囤地不建、超期未建、违规乱建等行为明确违约责任，加大违约成本，倒逼企业主动履约。批而未供、闲置土地、工业园三类用地处置率排名全市县市区第一。二是推进土地快速报批。共获批建设用地11个批次，批准面积618亩，同比增长76.7%。优先保障基础设施建设、经济发展重大产业项目用地，其中：保障工业用地16.9公顷，城镇批次用地12.2公顷，重大项目用地12.1公顷，村民建房1.1公顷。三是强化土地供应保障。按照“以用为先，用哪补哪”的原则，采取政府主导、部门联动、属地负责的机制，强化责任意识，疏通用地报批及土地出让工作中存在的难点堵点，依法依规优化简化相关手续流程，对出让的土地尽快落实依法补偿，快速实现净地出让。全年供应土地20宗面积420亩，土地价款1.6亿元，保障了万雨合业等一批项目的落地。</w:t>
      </w:r>
    </w:p>
    <w:p>
      <w:pPr>
        <w:pStyle w:val="4"/>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七、存在的问题及原因分析</w:t>
      </w:r>
    </w:p>
    <w:p>
      <w:pPr>
        <w:pStyle w:val="4"/>
        <w:keepNext w:val="0"/>
        <w:keepLines w:val="0"/>
        <w:pageBreakBefore w:val="0"/>
        <w:widowControl/>
        <w:kinsoku/>
        <w:wordWrap/>
        <w:overflowPunct/>
        <w:topLinePunct w:val="0"/>
        <w:autoSpaceDE/>
        <w:autoSpaceDN/>
        <w:bidi w:val="0"/>
        <w:adjustRightInd/>
        <w:snapToGrid/>
        <w:spacing w:line="640" w:lineRule="exact"/>
        <w:ind w:firstLine="560" w:firstLineChars="200"/>
        <w:jc w:val="both"/>
        <w:textAlignment w:val="auto"/>
        <w:rPr>
          <w:rFonts w:hint="eastAsia" w:ascii="仿宋" w:hAnsi="仿宋" w:eastAsia="仿宋" w:cs="仿宋"/>
          <w:b w:val="0"/>
          <w:bCs w:val="0"/>
          <w:kern w:val="0"/>
          <w:sz w:val="28"/>
          <w:szCs w:val="28"/>
          <w:highlight w:val="none"/>
          <w:lang w:val="en-US" w:eastAsia="zh-CN" w:bidi="ar-SA"/>
        </w:rPr>
      </w:pPr>
      <w:r>
        <w:rPr>
          <w:rFonts w:hint="eastAsia" w:ascii="仿宋" w:hAnsi="仿宋" w:eastAsia="仿宋" w:cs="仿宋"/>
          <w:b w:val="0"/>
          <w:bCs w:val="0"/>
          <w:kern w:val="0"/>
          <w:sz w:val="28"/>
          <w:szCs w:val="28"/>
          <w:highlight w:val="none"/>
          <w:lang w:val="en-US" w:eastAsia="zh-CN" w:bidi="ar-SA"/>
        </w:rPr>
        <w:t>预算绩效管理基础工作有待进一步加强。</w:t>
      </w:r>
    </w:p>
    <w:p>
      <w:pPr>
        <w:pStyle w:val="4"/>
        <w:keepNext w:val="0"/>
        <w:keepLines w:val="0"/>
        <w:pageBreakBefore w:val="0"/>
        <w:widowControl/>
        <w:kinsoku/>
        <w:wordWrap/>
        <w:overflowPunct/>
        <w:topLinePunct w:val="0"/>
        <w:autoSpaceDE/>
        <w:autoSpaceDN/>
        <w:bidi w:val="0"/>
        <w:adjustRightInd/>
        <w:snapToGrid/>
        <w:spacing w:line="640" w:lineRule="exact"/>
        <w:ind w:firstLine="560" w:firstLineChars="200"/>
        <w:jc w:val="both"/>
        <w:textAlignment w:val="auto"/>
        <w:rPr>
          <w:rFonts w:hint="default" w:ascii="仿宋" w:hAnsi="仿宋" w:eastAsia="仿宋" w:cs="仿宋"/>
          <w:b w:val="0"/>
          <w:bCs w:val="0"/>
          <w:kern w:val="0"/>
          <w:sz w:val="28"/>
          <w:szCs w:val="28"/>
          <w:highlight w:val="none"/>
          <w:lang w:val="en-US" w:eastAsia="zh-CN" w:bidi="ar-SA"/>
        </w:rPr>
      </w:pPr>
      <w:r>
        <w:rPr>
          <w:rFonts w:hint="eastAsia" w:ascii="仿宋" w:hAnsi="仿宋" w:eastAsia="仿宋" w:cs="仿宋"/>
          <w:b w:val="0"/>
          <w:bCs w:val="0"/>
          <w:kern w:val="0"/>
          <w:sz w:val="28"/>
          <w:szCs w:val="28"/>
          <w:highlight w:val="none"/>
          <w:lang w:val="en-US" w:eastAsia="zh-CN" w:bidi="ar-SA"/>
        </w:rPr>
        <w:t>1、绩效管理工作意识有待提高；2、绩效考核指标依据不足；3、绩效评价指标体系不完善，评价指标设定的科学性有待加强；4、绩效评价工作监督力度需进一步。</w:t>
      </w:r>
    </w:p>
    <w:p>
      <w:pPr>
        <w:keepNext w:val="0"/>
        <w:keepLines w:val="0"/>
        <w:pageBreakBefore w:val="0"/>
        <w:widowControl/>
        <w:numPr>
          <w:ilvl w:val="0"/>
          <w:numId w:val="4"/>
        </w:numPr>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下一步改进措施</w:t>
      </w:r>
    </w:p>
    <w:p>
      <w:pPr>
        <w:pStyle w:val="4"/>
        <w:keepNext w:val="0"/>
        <w:keepLines w:val="0"/>
        <w:pageBreakBefore w:val="0"/>
        <w:widowControl/>
        <w:numPr>
          <w:ilvl w:val="0"/>
          <w:numId w:val="5"/>
        </w:numPr>
        <w:kinsoku/>
        <w:wordWrap/>
        <w:overflowPunct/>
        <w:topLinePunct w:val="0"/>
        <w:autoSpaceDE/>
        <w:autoSpaceDN/>
        <w:bidi w:val="0"/>
        <w:adjustRightInd/>
        <w:snapToGrid/>
        <w:spacing w:line="640" w:lineRule="exact"/>
        <w:ind w:firstLine="560" w:firstLineChars="200"/>
        <w:jc w:val="both"/>
        <w:textAlignment w:val="auto"/>
        <w:rPr>
          <w:rFonts w:hint="eastAsia" w:ascii="仿宋" w:hAnsi="仿宋" w:eastAsia="仿宋" w:cs="仿宋"/>
          <w:b w:val="0"/>
          <w:bCs w:val="0"/>
          <w:kern w:val="0"/>
          <w:sz w:val="28"/>
          <w:szCs w:val="28"/>
          <w:highlight w:val="none"/>
          <w:lang w:val="en-US" w:eastAsia="zh-CN" w:bidi="ar-SA"/>
        </w:rPr>
      </w:pPr>
      <w:r>
        <w:rPr>
          <w:rFonts w:hint="eastAsia" w:ascii="仿宋" w:hAnsi="仿宋" w:eastAsia="仿宋" w:cs="仿宋"/>
          <w:b w:val="0"/>
          <w:bCs w:val="0"/>
          <w:kern w:val="0"/>
          <w:sz w:val="28"/>
          <w:szCs w:val="28"/>
          <w:highlight w:val="none"/>
          <w:lang w:val="en-US" w:eastAsia="zh-CN" w:bidi="ar-SA"/>
        </w:rPr>
        <w:t>开展关于预算绩效管理的培训，让业务管理部门有更多的绩效管理意识，更有正对性的设置绩效目标，使得绩效目标能够细化量化。</w:t>
      </w:r>
    </w:p>
    <w:p>
      <w:pPr>
        <w:pStyle w:val="4"/>
        <w:keepNext w:val="0"/>
        <w:keepLines w:val="0"/>
        <w:pageBreakBefore w:val="0"/>
        <w:widowControl/>
        <w:numPr>
          <w:ilvl w:val="0"/>
          <w:numId w:val="5"/>
        </w:numPr>
        <w:kinsoku/>
        <w:wordWrap/>
        <w:overflowPunct/>
        <w:topLinePunct w:val="0"/>
        <w:autoSpaceDE/>
        <w:autoSpaceDN/>
        <w:bidi w:val="0"/>
        <w:adjustRightInd/>
        <w:snapToGrid/>
        <w:spacing w:line="640" w:lineRule="exact"/>
        <w:ind w:firstLine="560" w:firstLineChars="200"/>
        <w:jc w:val="both"/>
        <w:textAlignment w:val="auto"/>
        <w:rPr>
          <w:rFonts w:hint="default" w:ascii="仿宋" w:hAnsi="仿宋" w:eastAsia="仿宋" w:cs="仿宋"/>
          <w:b w:val="0"/>
          <w:bCs w:val="0"/>
          <w:kern w:val="0"/>
          <w:sz w:val="28"/>
          <w:szCs w:val="28"/>
          <w:highlight w:val="none"/>
          <w:lang w:val="en-US" w:eastAsia="zh-CN" w:bidi="ar-SA"/>
        </w:rPr>
      </w:pPr>
      <w:r>
        <w:rPr>
          <w:rFonts w:hint="eastAsia" w:ascii="仿宋" w:hAnsi="仿宋" w:eastAsia="仿宋" w:cs="仿宋"/>
          <w:b w:val="0"/>
          <w:bCs w:val="0"/>
          <w:kern w:val="0"/>
          <w:sz w:val="28"/>
          <w:szCs w:val="28"/>
          <w:highlight w:val="none"/>
          <w:lang w:val="en-US" w:eastAsia="zh-CN" w:bidi="ar-SA"/>
        </w:rPr>
        <w:t>将单位各项工作与绩效考核制度紧密结合起来，突出绩效考核的针对性，促使绩效管理细节和可操作化落到工作实处，达到单位绩效考核工作的整体与部分协调。</w:t>
      </w:r>
    </w:p>
    <w:p>
      <w:pPr>
        <w:pStyle w:val="4"/>
        <w:keepNext w:val="0"/>
        <w:keepLines w:val="0"/>
        <w:pageBreakBefore w:val="0"/>
        <w:widowControl/>
        <w:numPr>
          <w:ilvl w:val="0"/>
          <w:numId w:val="5"/>
        </w:numPr>
        <w:kinsoku/>
        <w:wordWrap/>
        <w:overflowPunct/>
        <w:topLinePunct w:val="0"/>
        <w:autoSpaceDE/>
        <w:autoSpaceDN/>
        <w:bidi w:val="0"/>
        <w:adjustRightInd/>
        <w:snapToGrid/>
        <w:spacing w:line="640" w:lineRule="exact"/>
        <w:ind w:firstLine="560" w:firstLineChars="200"/>
        <w:jc w:val="both"/>
        <w:textAlignment w:val="auto"/>
        <w:rPr>
          <w:rFonts w:hint="default" w:ascii="仿宋" w:hAnsi="仿宋" w:eastAsia="仿宋" w:cs="仿宋"/>
          <w:b w:val="0"/>
          <w:bCs w:val="0"/>
          <w:kern w:val="0"/>
          <w:sz w:val="28"/>
          <w:szCs w:val="28"/>
          <w:highlight w:val="none"/>
          <w:lang w:val="en-US" w:eastAsia="zh-CN" w:bidi="ar-SA"/>
        </w:rPr>
      </w:pPr>
      <w:r>
        <w:rPr>
          <w:rFonts w:hint="eastAsia" w:ascii="仿宋" w:hAnsi="仿宋" w:eastAsia="仿宋" w:cs="仿宋"/>
          <w:b w:val="0"/>
          <w:bCs w:val="0"/>
          <w:kern w:val="0"/>
          <w:sz w:val="28"/>
          <w:szCs w:val="28"/>
          <w:highlight w:val="none"/>
          <w:lang w:val="en-US" w:eastAsia="zh-CN" w:bidi="ar-SA"/>
        </w:rPr>
        <w:t>简历抽查机制，对单位内部绩效考核情况进行分析，并开展绩效考核监管工作，保证绩效考核管理工作的顺利进行。</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九、部门整体支出绩效自评结果拟应用和公开情况</w:t>
      </w:r>
    </w:p>
    <w:p>
      <w:pPr>
        <w:keepNext w:val="0"/>
        <w:keepLines w:val="0"/>
        <w:pageBreakBefore w:val="0"/>
        <w:widowControl/>
        <w:kinsoku/>
        <w:wordWrap/>
        <w:overflowPunct/>
        <w:topLinePunct w:val="0"/>
        <w:autoSpaceDE/>
        <w:autoSpaceDN/>
        <w:bidi w:val="0"/>
        <w:adjustRightInd/>
        <w:snapToGrid/>
        <w:spacing w:line="640" w:lineRule="exact"/>
        <w:ind w:firstLine="560" w:firstLineChars="200"/>
        <w:jc w:val="both"/>
        <w:textAlignment w:val="auto"/>
        <w:rPr>
          <w:rFonts w:hint="default" w:ascii="仿宋" w:hAnsi="仿宋" w:eastAsia="仿宋" w:cs="仿宋"/>
          <w:b w:val="0"/>
          <w:bCs w:val="0"/>
          <w:kern w:val="0"/>
          <w:sz w:val="28"/>
          <w:szCs w:val="28"/>
          <w:highlight w:val="none"/>
          <w:lang w:val="en-US" w:eastAsia="zh-CN" w:bidi="ar-SA"/>
        </w:rPr>
      </w:pPr>
      <w:r>
        <w:rPr>
          <w:rFonts w:hint="eastAsia" w:ascii="仿宋" w:hAnsi="仿宋" w:eastAsia="仿宋" w:cs="仿宋"/>
          <w:b w:val="0"/>
          <w:bCs w:val="0"/>
          <w:kern w:val="0"/>
          <w:sz w:val="28"/>
          <w:szCs w:val="28"/>
          <w:highlight w:val="none"/>
          <w:lang w:val="en-US" w:eastAsia="zh-CN" w:bidi="ar-SA"/>
        </w:rPr>
        <w:t>本单位将参考部门整体支出绩效自评结果，将绩效自评结果与年终部门考核挂钩。部门整体支出绩效自评结果将在我单位网站进行公开。</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rPr>
      </w:pPr>
      <w:r>
        <w:rPr>
          <w:rFonts w:hint="eastAsia" w:ascii="Times New Roman" w:hAnsi="Times New Roman" w:eastAsia="黑体" w:cs="Times New Roman"/>
          <w:sz w:val="32"/>
          <w:szCs w:val="32"/>
          <w:highlight w:val="none"/>
          <w:lang w:val="en-US" w:eastAsia="zh-CN"/>
        </w:rPr>
        <w:t>十、</w:t>
      </w:r>
      <w:r>
        <w:rPr>
          <w:rFonts w:hint="default" w:ascii="Times New Roman" w:hAnsi="Times New Roman" w:eastAsia="黑体" w:cs="Times New Roman"/>
          <w:sz w:val="32"/>
          <w:szCs w:val="32"/>
          <w:highlight w:val="none"/>
        </w:rPr>
        <w:t>其他需要说明的情况</w:t>
      </w:r>
    </w:p>
    <w:p>
      <w:pPr>
        <w:keepNext w:val="0"/>
        <w:keepLines w:val="0"/>
        <w:pageBreakBefore w:val="0"/>
        <w:widowControl/>
        <w:kinsoku/>
        <w:wordWrap/>
        <w:overflowPunct/>
        <w:topLinePunct w:val="0"/>
        <w:autoSpaceDE/>
        <w:autoSpaceDN/>
        <w:bidi w:val="0"/>
        <w:adjustRightInd/>
        <w:snapToGrid/>
        <w:spacing w:line="640" w:lineRule="exact"/>
        <w:ind w:firstLine="560" w:firstLineChars="200"/>
        <w:jc w:val="both"/>
        <w:textAlignment w:val="auto"/>
        <w:rPr>
          <w:rFonts w:hint="default" w:ascii="Times New Roman" w:hAnsi="Times New Roman" w:eastAsia="黑体" w:cs="Times New Roman"/>
          <w:sz w:val="32"/>
          <w:szCs w:val="32"/>
          <w:highlight w:val="none"/>
          <w:lang w:val="en-US" w:eastAsia="zh-CN"/>
        </w:rPr>
      </w:pPr>
      <w:r>
        <w:rPr>
          <w:rFonts w:hint="eastAsia" w:ascii="仿宋" w:hAnsi="仿宋" w:eastAsia="仿宋" w:cs="仿宋"/>
          <w:b w:val="0"/>
          <w:bCs w:val="0"/>
          <w:kern w:val="0"/>
          <w:sz w:val="28"/>
          <w:szCs w:val="28"/>
          <w:highlight w:val="none"/>
          <w:lang w:val="en-US" w:eastAsia="zh-CN" w:bidi="ar-SA"/>
        </w:rPr>
        <w:t>无其他需要说明的情况。</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_GB2312" w:cs="Times New Roman"/>
          <w:sz w:val="32"/>
          <w:szCs w:val="32"/>
          <w:highlight w:val="none"/>
        </w:rPr>
      </w:pPr>
    </w:p>
    <w:p>
      <w:pPr>
        <w:keepNext w:val="0"/>
        <w:keepLines w:val="0"/>
        <w:pageBreakBefore w:val="0"/>
        <w:widowControl/>
        <w:kinsoku/>
        <w:wordWrap/>
        <w:overflowPunct/>
        <w:topLinePunct w:val="0"/>
        <w:autoSpaceDE/>
        <w:autoSpaceDN/>
        <w:bidi w:val="0"/>
        <w:adjustRightInd/>
        <w:snapToGrid/>
        <w:spacing w:line="640" w:lineRule="exact"/>
        <w:ind w:firstLine="560" w:firstLineChars="200"/>
        <w:jc w:val="both"/>
        <w:textAlignment w:val="auto"/>
        <w:rPr>
          <w:rFonts w:hint="eastAsia" w:ascii="仿宋" w:hAnsi="仿宋" w:eastAsia="仿宋" w:cs="仿宋"/>
          <w:b w:val="0"/>
          <w:bCs w:val="0"/>
          <w:kern w:val="0"/>
          <w:sz w:val="28"/>
          <w:szCs w:val="28"/>
          <w:highlight w:val="none"/>
          <w:lang w:val="en-US" w:eastAsia="zh-CN" w:bidi="ar-SA"/>
        </w:rPr>
      </w:pPr>
      <w:r>
        <w:rPr>
          <w:rFonts w:hint="eastAsia" w:ascii="仿宋" w:hAnsi="仿宋" w:eastAsia="仿宋" w:cs="仿宋"/>
          <w:b w:val="0"/>
          <w:bCs w:val="0"/>
          <w:kern w:val="0"/>
          <w:sz w:val="28"/>
          <w:szCs w:val="28"/>
          <w:highlight w:val="none"/>
          <w:lang w:val="en-US" w:eastAsia="zh-CN" w:bidi="ar-SA"/>
        </w:rPr>
        <w:t>报告需要以下附件：</w:t>
      </w:r>
    </w:p>
    <w:p>
      <w:pPr>
        <w:keepNext w:val="0"/>
        <w:keepLines w:val="0"/>
        <w:pageBreakBefore w:val="0"/>
        <w:widowControl/>
        <w:kinsoku/>
        <w:wordWrap/>
        <w:overflowPunct/>
        <w:topLinePunct w:val="0"/>
        <w:autoSpaceDE/>
        <w:autoSpaceDN/>
        <w:bidi w:val="0"/>
        <w:adjustRightInd/>
        <w:snapToGrid/>
        <w:spacing w:line="640" w:lineRule="exact"/>
        <w:ind w:firstLine="560" w:firstLineChars="200"/>
        <w:jc w:val="both"/>
        <w:textAlignment w:val="auto"/>
        <w:rPr>
          <w:rFonts w:hint="eastAsia" w:ascii="仿宋" w:hAnsi="仿宋" w:eastAsia="仿宋" w:cs="仿宋"/>
          <w:b w:val="0"/>
          <w:bCs w:val="0"/>
          <w:kern w:val="0"/>
          <w:sz w:val="28"/>
          <w:szCs w:val="28"/>
          <w:highlight w:val="none"/>
          <w:lang w:val="en-US" w:eastAsia="zh-CN" w:bidi="ar-SA"/>
        </w:rPr>
      </w:pPr>
      <w:r>
        <w:rPr>
          <w:rFonts w:hint="eastAsia" w:ascii="仿宋" w:hAnsi="仿宋" w:eastAsia="仿宋" w:cs="仿宋"/>
          <w:b w:val="0"/>
          <w:bCs w:val="0"/>
          <w:kern w:val="0"/>
          <w:sz w:val="28"/>
          <w:szCs w:val="28"/>
          <w:highlight w:val="none"/>
          <w:lang w:val="en-US" w:eastAsia="zh-CN" w:bidi="ar-SA"/>
        </w:rPr>
        <w:t>1.部门整体支出绩效评价基础数据表</w:t>
      </w:r>
    </w:p>
    <w:p>
      <w:pPr>
        <w:keepNext w:val="0"/>
        <w:keepLines w:val="0"/>
        <w:pageBreakBefore w:val="0"/>
        <w:widowControl/>
        <w:kinsoku/>
        <w:wordWrap/>
        <w:overflowPunct/>
        <w:topLinePunct w:val="0"/>
        <w:autoSpaceDE/>
        <w:autoSpaceDN/>
        <w:bidi w:val="0"/>
        <w:adjustRightInd/>
        <w:snapToGrid/>
        <w:spacing w:line="640" w:lineRule="exact"/>
        <w:ind w:firstLine="560" w:firstLineChars="200"/>
        <w:jc w:val="both"/>
        <w:textAlignment w:val="auto"/>
        <w:rPr>
          <w:rFonts w:hint="eastAsia" w:ascii="仿宋" w:hAnsi="仿宋" w:eastAsia="仿宋" w:cs="仿宋"/>
          <w:b w:val="0"/>
          <w:bCs w:val="0"/>
          <w:kern w:val="0"/>
          <w:sz w:val="28"/>
          <w:szCs w:val="28"/>
          <w:highlight w:val="none"/>
          <w:lang w:val="en-US" w:eastAsia="zh-CN" w:bidi="ar-SA"/>
        </w:rPr>
      </w:pPr>
      <w:r>
        <w:rPr>
          <w:rFonts w:hint="eastAsia" w:ascii="仿宋" w:hAnsi="仿宋" w:eastAsia="仿宋" w:cs="仿宋"/>
          <w:b w:val="0"/>
          <w:bCs w:val="0"/>
          <w:kern w:val="0"/>
          <w:sz w:val="28"/>
          <w:szCs w:val="28"/>
          <w:highlight w:val="none"/>
          <w:lang w:val="en-US" w:eastAsia="zh-CN" w:bidi="ar-SA"/>
        </w:rPr>
        <w:t>2.部门整体支出绩效自评表</w:t>
      </w:r>
    </w:p>
    <w:p>
      <w:pPr>
        <w:keepNext w:val="0"/>
        <w:keepLines w:val="0"/>
        <w:pageBreakBefore w:val="0"/>
        <w:widowControl/>
        <w:kinsoku/>
        <w:wordWrap/>
        <w:overflowPunct/>
        <w:topLinePunct w:val="0"/>
        <w:autoSpaceDE/>
        <w:autoSpaceDN/>
        <w:bidi w:val="0"/>
        <w:adjustRightInd/>
        <w:snapToGrid/>
        <w:spacing w:line="640" w:lineRule="exact"/>
        <w:ind w:firstLine="560" w:firstLineChars="200"/>
        <w:jc w:val="both"/>
        <w:textAlignment w:val="auto"/>
        <w:rPr>
          <w:rFonts w:hint="eastAsia" w:ascii="仿宋" w:hAnsi="仿宋" w:eastAsia="仿宋" w:cs="仿宋"/>
          <w:b w:val="0"/>
          <w:bCs w:val="0"/>
          <w:kern w:val="0"/>
          <w:sz w:val="28"/>
          <w:szCs w:val="28"/>
          <w:highlight w:val="none"/>
          <w:lang w:val="en-US" w:eastAsia="zh-CN" w:bidi="ar-SA"/>
        </w:rPr>
      </w:pPr>
      <w:r>
        <w:rPr>
          <w:rFonts w:hint="eastAsia" w:ascii="仿宋" w:hAnsi="仿宋" w:eastAsia="仿宋" w:cs="仿宋"/>
          <w:b w:val="0"/>
          <w:bCs w:val="0"/>
          <w:kern w:val="0"/>
          <w:sz w:val="28"/>
          <w:szCs w:val="28"/>
          <w:highlight w:val="none"/>
          <w:lang w:val="en-US" w:eastAsia="zh-CN" w:bidi="ar-SA"/>
        </w:rPr>
        <w:t>3.项目支出绩效自评表（一个一级项目支出一张表）</w:t>
      </w:r>
    </w:p>
    <w:p>
      <w:pPr>
        <w:keepNext w:val="0"/>
        <w:keepLines w:val="0"/>
        <w:pageBreakBefore w:val="0"/>
        <w:widowControl/>
        <w:kinsoku/>
        <w:wordWrap/>
        <w:overflowPunct/>
        <w:topLinePunct w:val="0"/>
        <w:autoSpaceDE/>
        <w:autoSpaceDN/>
        <w:bidi w:val="0"/>
        <w:adjustRightInd/>
        <w:snapToGrid/>
        <w:spacing w:line="640" w:lineRule="exact"/>
        <w:ind w:firstLine="560" w:firstLineChars="200"/>
        <w:jc w:val="both"/>
        <w:textAlignment w:val="auto"/>
        <w:rPr>
          <w:rFonts w:hint="eastAsia" w:ascii="仿宋" w:hAnsi="仿宋" w:eastAsia="仿宋" w:cs="仿宋"/>
          <w:b w:val="0"/>
          <w:bCs w:val="0"/>
          <w:kern w:val="0"/>
          <w:sz w:val="28"/>
          <w:szCs w:val="28"/>
          <w:highlight w:val="none"/>
          <w:lang w:val="en-US" w:eastAsia="zh-CN" w:bidi="ar-SA"/>
        </w:rPr>
      </w:pPr>
      <w:r>
        <w:rPr>
          <w:rFonts w:hint="eastAsia" w:ascii="仿宋" w:hAnsi="仿宋" w:eastAsia="仿宋" w:cs="仿宋"/>
          <w:b w:val="0"/>
          <w:bCs w:val="0"/>
          <w:kern w:val="0"/>
          <w:sz w:val="28"/>
          <w:szCs w:val="28"/>
          <w:highlight w:val="none"/>
          <w:lang w:val="en-US" w:eastAsia="zh-CN" w:bidi="ar-SA"/>
        </w:rPr>
        <w:t>4.政府性基金预算支出情况表</w:t>
      </w:r>
    </w:p>
    <w:p>
      <w:pPr>
        <w:keepNext w:val="0"/>
        <w:keepLines w:val="0"/>
        <w:pageBreakBefore w:val="0"/>
        <w:widowControl/>
        <w:kinsoku/>
        <w:wordWrap/>
        <w:overflowPunct/>
        <w:topLinePunct w:val="0"/>
        <w:autoSpaceDE/>
        <w:autoSpaceDN/>
        <w:bidi w:val="0"/>
        <w:adjustRightInd/>
        <w:snapToGrid/>
        <w:spacing w:line="640" w:lineRule="exact"/>
        <w:ind w:firstLine="560" w:firstLineChars="200"/>
        <w:jc w:val="both"/>
        <w:textAlignment w:val="auto"/>
        <w:rPr>
          <w:rFonts w:hint="eastAsia" w:ascii="仿宋" w:hAnsi="仿宋" w:eastAsia="仿宋" w:cs="仿宋"/>
          <w:b w:val="0"/>
          <w:bCs w:val="0"/>
          <w:kern w:val="0"/>
          <w:sz w:val="28"/>
          <w:szCs w:val="28"/>
          <w:highlight w:val="none"/>
          <w:lang w:val="en-US" w:eastAsia="zh-CN" w:bidi="ar-SA"/>
        </w:rPr>
      </w:pPr>
      <w:r>
        <w:rPr>
          <w:rFonts w:hint="eastAsia" w:ascii="仿宋" w:hAnsi="仿宋" w:eastAsia="仿宋" w:cs="仿宋"/>
          <w:b w:val="0"/>
          <w:bCs w:val="0"/>
          <w:kern w:val="0"/>
          <w:sz w:val="28"/>
          <w:szCs w:val="28"/>
          <w:highlight w:val="none"/>
          <w:lang w:val="en-US" w:eastAsia="zh-CN" w:bidi="ar-SA"/>
        </w:rPr>
        <w:t>5.国有资本经营预算支出情况表</w:t>
      </w:r>
    </w:p>
    <w:p>
      <w:pPr>
        <w:keepNext w:val="0"/>
        <w:keepLines w:val="0"/>
        <w:pageBreakBefore w:val="0"/>
        <w:widowControl/>
        <w:kinsoku/>
        <w:wordWrap/>
        <w:overflowPunct/>
        <w:topLinePunct w:val="0"/>
        <w:autoSpaceDE/>
        <w:autoSpaceDN/>
        <w:bidi w:val="0"/>
        <w:adjustRightInd/>
        <w:snapToGrid/>
        <w:spacing w:line="640" w:lineRule="exact"/>
        <w:ind w:firstLine="560" w:firstLineChars="200"/>
        <w:jc w:val="both"/>
        <w:textAlignment w:val="auto"/>
        <w:rPr>
          <w:rFonts w:hint="eastAsia" w:ascii="仿宋" w:hAnsi="仿宋" w:eastAsia="仿宋" w:cs="仿宋"/>
          <w:b w:val="0"/>
          <w:bCs w:val="0"/>
          <w:kern w:val="0"/>
          <w:sz w:val="28"/>
          <w:szCs w:val="28"/>
          <w:highlight w:val="none"/>
          <w:lang w:val="en-US" w:eastAsia="zh-CN" w:bidi="ar-SA"/>
        </w:rPr>
      </w:pPr>
      <w:r>
        <w:rPr>
          <w:rFonts w:hint="eastAsia" w:ascii="仿宋" w:hAnsi="仿宋" w:eastAsia="仿宋" w:cs="仿宋"/>
          <w:b w:val="0"/>
          <w:bCs w:val="0"/>
          <w:kern w:val="0"/>
          <w:sz w:val="28"/>
          <w:szCs w:val="28"/>
          <w:highlight w:val="none"/>
          <w:lang w:val="en-US" w:eastAsia="zh-CN" w:bidi="ar-SA"/>
        </w:rPr>
        <w:t>6.社会保险基金预算支出情况表</w:t>
      </w:r>
    </w:p>
    <w:p>
      <w:r>
        <w:rPr>
          <w:rFonts w:hint="eastAsia" w:ascii="仿宋_GB2312" w:hAnsi="仿宋_GB2312" w:eastAsia="仿宋_GB2312" w:cs="仿宋_GB2312"/>
          <w:sz w:val="32"/>
          <w:szCs w:val="32"/>
          <w:highlight w:val="none"/>
        </w:rPr>
        <w:br w:type="page"/>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2000000000000000000"/>
    <w:charset w:val="86"/>
    <w:family w:val="script"/>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96E21A"/>
    <w:multiLevelType w:val="singleLevel"/>
    <w:tmpl w:val="9A96E21A"/>
    <w:lvl w:ilvl="0" w:tentative="0">
      <w:start w:val="8"/>
      <w:numFmt w:val="chineseCounting"/>
      <w:suff w:val="nothing"/>
      <w:lvlText w:val="%1、"/>
      <w:lvlJc w:val="left"/>
      <w:rPr>
        <w:rFonts w:hint="eastAsia"/>
      </w:rPr>
    </w:lvl>
  </w:abstractNum>
  <w:abstractNum w:abstractNumId="1">
    <w:nsid w:val="E8AC1AC4"/>
    <w:multiLevelType w:val="singleLevel"/>
    <w:tmpl w:val="E8AC1AC4"/>
    <w:lvl w:ilvl="0" w:tentative="0">
      <w:start w:val="4"/>
      <w:numFmt w:val="chineseCounting"/>
      <w:suff w:val="nothing"/>
      <w:lvlText w:val="%1、"/>
      <w:lvlJc w:val="left"/>
      <w:rPr>
        <w:rFonts w:hint="eastAsia"/>
      </w:rPr>
    </w:lvl>
  </w:abstractNum>
  <w:abstractNum w:abstractNumId="2">
    <w:nsid w:val="0F702C1E"/>
    <w:multiLevelType w:val="singleLevel"/>
    <w:tmpl w:val="0F702C1E"/>
    <w:lvl w:ilvl="0" w:tentative="0">
      <w:start w:val="1"/>
      <w:numFmt w:val="decimal"/>
      <w:suff w:val="nothing"/>
      <w:lvlText w:val="%1、"/>
      <w:lvlJc w:val="left"/>
    </w:lvl>
  </w:abstractNum>
  <w:abstractNum w:abstractNumId="3">
    <w:nsid w:val="25BDCEDD"/>
    <w:multiLevelType w:val="singleLevel"/>
    <w:tmpl w:val="25BDCEDD"/>
    <w:lvl w:ilvl="0" w:tentative="0">
      <w:start w:val="1"/>
      <w:numFmt w:val="chineseCounting"/>
      <w:suff w:val="nothing"/>
      <w:lvlText w:val="%1、"/>
      <w:lvlJc w:val="left"/>
      <w:rPr>
        <w:rFonts w:hint="eastAsia"/>
      </w:rPr>
    </w:lvl>
  </w:abstractNum>
  <w:abstractNum w:abstractNumId="4">
    <w:nsid w:val="743D92C7"/>
    <w:multiLevelType w:val="singleLevel"/>
    <w:tmpl w:val="743D92C7"/>
    <w:lvl w:ilvl="0" w:tentative="0">
      <w:start w:val="2"/>
      <w:numFmt w:val="chineseCounting"/>
      <w:suff w:val="nothing"/>
      <w:lvlText w:val="（%1）"/>
      <w:lvlJc w:val="left"/>
      <w:rPr>
        <w:rFonts w:hint="eastAsia"/>
      </w:r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gzN2UyNGM3YTkwMTdiNWQyZjhjYWY3NWE1N2M4ZDUifQ=="/>
  </w:docVars>
  <w:rsids>
    <w:rsidRoot w:val="69BE2E57"/>
    <w:rsid w:val="03E70CC1"/>
    <w:rsid w:val="1A496843"/>
    <w:rsid w:val="65E72519"/>
    <w:rsid w:val="69BE2E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 w:hAnsi="仿宋" w:eastAsia="宋体" w:cs="Times New Roman"/>
      <w:kern w:val="0"/>
      <w:sz w:val="28"/>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2667</Words>
  <Characters>2864</Characters>
  <Lines>0</Lines>
  <Paragraphs>0</Paragraphs>
  <TotalTime>80</TotalTime>
  <ScaleCrop>false</ScaleCrop>
  <LinksUpToDate>false</LinksUpToDate>
  <CharactersWithSpaces>2865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2024-06-13T07:07:00Z</dcterms:created>
  <dc:creator>曾茜</dc:creator>
  <cp:lastModifiedBy>曾茜</cp:lastModifiedBy>
  <dcterms:modified xsi:type="dcterms:W3CDTF">2024-09-14T08:51:03Z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69E45FD305554E30934C976F894A70C4_11</vt:lpwstr>
  </property>
</Properties>
</file>