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48" w:lineRule="auto"/>
        <w:jc w:val="center"/>
        <w:rPr>
          <w:rFonts w:hint="eastAsia" w:eastAsia="方正小标宋简体"/>
          <w:bCs/>
          <w:sz w:val="42"/>
          <w:szCs w:val="42"/>
        </w:rPr>
      </w:pPr>
    </w:p>
    <w:p>
      <w:pPr>
        <w:spacing w:line="348" w:lineRule="auto"/>
        <w:jc w:val="center"/>
        <w:rPr>
          <w:rFonts w:hint="eastAsia" w:eastAsia="方正小标宋简体"/>
          <w:bCs/>
          <w:sz w:val="42"/>
          <w:szCs w:val="42"/>
        </w:rPr>
      </w:pPr>
    </w:p>
    <w:p>
      <w:pPr>
        <w:spacing w:line="348" w:lineRule="auto"/>
        <w:jc w:val="center"/>
        <w:rPr>
          <w:rFonts w:hint="eastAsia" w:eastAsia="方正小标宋简体"/>
          <w:bCs/>
          <w:sz w:val="42"/>
          <w:szCs w:val="42"/>
        </w:rPr>
      </w:pPr>
    </w:p>
    <w:p>
      <w:pPr>
        <w:spacing w:line="348" w:lineRule="auto"/>
        <w:jc w:val="center"/>
        <w:rPr>
          <w:rFonts w:hint="eastAsia" w:eastAsia="方正小标宋简体"/>
          <w:bCs/>
          <w:sz w:val="42"/>
          <w:szCs w:val="42"/>
        </w:rPr>
      </w:pPr>
    </w:p>
    <w:p>
      <w:pPr>
        <w:spacing w:line="348" w:lineRule="auto"/>
        <w:jc w:val="center"/>
        <w:rPr>
          <w:rFonts w:hint="eastAsia" w:eastAsia="方正小标宋简体"/>
          <w:bCs/>
          <w:sz w:val="42"/>
          <w:szCs w:val="42"/>
        </w:rPr>
      </w:pPr>
    </w:p>
    <w:p>
      <w:pPr>
        <w:spacing w:line="800" w:lineRule="exact"/>
        <w:jc w:val="center"/>
        <w:rPr>
          <w:rFonts w:hint="eastAsia" w:eastAsia="方正小标宋简体"/>
          <w:bCs/>
          <w:sz w:val="46"/>
          <w:szCs w:val="46"/>
        </w:rPr>
      </w:pPr>
      <w:r>
        <w:rPr>
          <w:rFonts w:hint="eastAsia" w:eastAsia="方正小标宋简体"/>
          <w:bCs/>
          <w:sz w:val="46"/>
          <w:szCs w:val="46"/>
          <w:lang w:eastAsia="zh-CN"/>
        </w:rPr>
        <w:t>君山区</w:t>
      </w:r>
      <w:r>
        <w:rPr>
          <w:rFonts w:hint="eastAsia" w:eastAsia="方正小标宋简体"/>
          <w:bCs/>
          <w:sz w:val="46"/>
          <w:szCs w:val="46"/>
        </w:rPr>
        <w:t>20</w:t>
      </w:r>
      <w:r>
        <w:rPr>
          <w:rFonts w:hint="eastAsia" w:eastAsia="方正小标宋简体"/>
          <w:bCs/>
          <w:sz w:val="46"/>
          <w:szCs w:val="46"/>
          <w:u w:val="single"/>
        </w:rPr>
        <w:t xml:space="preserve"> </w:t>
      </w:r>
      <w:r>
        <w:rPr>
          <w:rFonts w:hint="eastAsia" w:eastAsia="方正小标宋简体"/>
          <w:bCs/>
          <w:sz w:val="46"/>
          <w:szCs w:val="46"/>
          <w:u w:val="single"/>
          <w:lang w:val="en-US" w:eastAsia="zh-CN"/>
        </w:rPr>
        <w:t>22</w:t>
      </w:r>
      <w:r>
        <w:rPr>
          <w:rFonts w:hint="eastAsia" w:eastAsia="方正小标宋简体"/>
          <w:bCs/>
          <w:sz w:val="46"/>
          <w:szCs w:val="46"/>
        </w:rPr>
        <w:t>年度部门（单位）整体支出</w:t>
      </w:r>
    </w:p>
    <w:p>
      <w:pPr>
        <w:spacing w:line="800" w:lineRule="exact"/>
        <w:jc w:val="center"/>
        <w:rPr>
          <w:rFonts w:hint="eastAsia" w:eastAsia="方正小标宋简体"/>
          <w:bCs/>
          <w:sz w:val="46"/>
          <w:szCs w:val="46"/>
        </w:rPr>
      </w:pPr>
      <w:r>
        <w:rPr>
          <w:rFonts w:hint="eastAsia" w:eastAsia="方正小标宋简体"/>
          <w:bCs/>
          <w:sz w:val="46"/>
          <w:szCs w:val="46"/>
        </w:rPr>
        <w:t>绩效评价自评报告</w:t>
      </w:r>
    </w:p>
    <w:p>
      <w:pPr>
        <w:rPr>
          <w:rFonts w:hint="eastAsia" w:eastAsia="仿宋_GB2312"/>
          <w:b/>
          <w:sz w:val="32"/>
        </w:rPr>
      </w:pPr>
    </w:p>
    <w:p>
      <w:pPr>
        <w:spacing w:before="301" w:beforeLines="50" w:line="348" w:lineRule="auto"/>
        <w:ind w:firstLine="476" w:firstLineChars="150"/>
        <w:rPr>
          <w:rFonts w:hint="eastAsia" w:eastAsia="仿宋_GB2312"/>
          <w:sz w:val="32"/>
          <w:szCs w:val="32"/>
          <w:u w:val="single"/>
        </w:rPr>
      </w:pPr>
      <w:r>
        <w:rPr>
          <w:rFonts w:hint="eastAsia" w:eastAsia="仿宋_GB2312"/>
          <w:sz w:val="32"/>
          <w:szCs w:val="32"/>
        </w:rPr>
        <w:t>部门(单位)名称：</w:t>
      </w:r>
      <w:r>
        <w:rPr>
          <w:rFonts w:hint="eastAsia" w:eastAsia="仿宋_GB2312"/>
          <w:sz w:val="32"/>
          <w:szCs w:val="32"/>
          <w:u w:val="single"/>
        </w:rPr>
        <w:t xml:space="preserve">  </w:t>
      </w:r>
      <w:r>
        <w:rPr>
          <w:rFonts w:hint="eastAsia" w:eastAsia="仿宋_GB2312"/>
          <w:sz w:val="32"/>
          <w:szCs w:val="32"/>
          <w:u w:val="single"/>
          <w:lang w:eastAsia="zh-CN"/>
        </w:rPr>
        <w:t>岳阳市君山区市场监督管理局</w:t>
      </w:r>
      <w:r>
        <w:rPr>
          <w:rFonts w:hint="eastAsia" w:eastAsia="仿宋_GB2312"/>
          <w:sz w:val="32"/>
          <w:szCs w:val="32"/>
          <w:u w:val="single"/>
        </w:rPr>
        <w:t xml:space="preserve">                                 </w:t>
      </w:r>
    </w:p>
    <w:p>
      <w:pPr>
        <w:spacing w:before="301" w:beforeLines="50" w:line="348" w:lineRule="auto"/>
        <w:ind w:firstLine="476" w:firstLineChars="150"/>
        <w:rPr>
          <w:rFonts w:hint="eastAsia" w:eastAsia="仿宋_GB2312"/>
          <w:spacing w:val="20"/>
          <w:sz w:val="32"/>
          <w:szCs w:val="32"/>
        </w:rPr>
      </w:pPr>
      <w:r>
        <w:rPr>
          <w:rFonts w:hint="eastAsia" w:eastAsia="仿宋_GB2312"/>
          <w:sz w:val="32"/>
          <w:szCs w:val="32"/>
        </w:rPr>
        <w:t>预</w:t>
      </w:r>
      <w:r>
        <w:rPr>
          <w:rFonts w:hint="eastAsia" w:eastAsia="仿宋_GB2312"/>
          <w:spacing w:val="30"/>
          <w:sz w:val="32"/>
          <w:szCs w:val="32"/>
        </w:rPr>
        <w:t xml:space="preserve"> 算 编 码：</w:t>
      </w:r>
      <w:r>
        <w:rPr>
          <w:rFonts w:hint="eastAsia" w:eastAsia="仿宋_GB2312"/>
          <w:spacing w:val="20"/>
          <w:sz w:val="32"/>
          <w:szCs w:val="32"/>
          <w:u w:val="single"/>
        </w:rPr>
        <w:t xml:space="preserve">     </w:t>
      </w:r>
      <w:r>
        <w:rPr>
          <w:rFonts w:hint="eastAsia" w:eastAsia="仿宋_GB2312"/>
          <w:spacing w:val="20"/>
          <w:sz w:val="32"/>
          <w:szCs w:val="32"/>
          <w:u w:val="single"/>
          <w:lang w:val="en-US" w:eastAsia="zh-CN"/>
        </w:rPr>
        <w:t>125</w:t>
      </w:r>
      <w:r>
        <w:rPr>
          <w:rFonts w:hint="eastAsia" w:eastAsia="仿宋_GB2312"/>
          <w:spacing w:val="20"/>
          <w:sz w:val="32"/>
          <w:szCs w:val="32"/>
          <w:u w:val="single"/>
        </w:rPr>
        <w:t xml:space="preserve">                      </w:t>
      </w:r>
    </w:p>
    <w:p>
      <w:pPr>
        <w:spacing w:before="301" w:beforeLines="50" w:line="348" w:lineRule="auto"/>
        <w:ind w:firstLine="476" w:firstLineChars="150"/>
        <w:rPr>
          <w:rFonts w:hint="eastAsia" w:eastAsia="仿宋_GB2312"/>
          <w:sz w:val="32"/>
          <w:szCs w:val="32"/>
        </w:rPr>
      </w:pPr>
      <w:r>
        <w:rPr>
          <w:rFonts w:hint="eastAsia" w:eastAsia="仿宋_GB2312"/>
          <w:sz w:val="32"/>
          <w:szCs w:val="32"/>
        </w:rPr>
        <w:t>评价方式：部门（单位）绩效自评</w:t>
      </w:r>
    </w:p>
    <w:p>
      <w:pPr>
        <w:spacing w:before="301" w:beforeLines="50" w:line="348" w:lineRule="auto"/>
        <w:ind w:firstLine="476" w:firstLineChars="150"/>
        <w:rPr>
          <w:rFonts w:hint="eastAsia" w:eastAsia="仿宋_GB2312"/>
          <w:sz w:val="32"/>
        </w:rPr>
      </w:pPr>
      <w:r>
        <w:rPr>
          <w:rFonts w:hint="eastAsia" w:eastAsia="仿宋_GB2312"/>
          <w:sz w:val="32"/>
          <w:szCs w:val="32"/>
        </w:rPr>
        <w:t xml:space="preserve">评价机构：部门（单位）评价组   </w:t>
      </w:r>
    </w:p>
    <w:p>
      <w:pPr>
        <w:spacing w:line="348" w:lineRule="auto"/>
        <w:ind w:firstLine="2188" w:firstLineChars="690"/>
        <w:rPr>
          <w:rFonts w:hint="eastAsia" w:eastAsia="仿宋_GB2312"/>
          <w:sz w:val="32"/>
        </w:rPr>
      </w:pPr>
    </w:p>
    <w:p>
      <w:pPr>
        <w:spacing w:line="348" w:lineRule="auto"/>
        <w:jc w:val="center"/>
        <w:rPr>
          <w:rFonts w:hint="eastAsia" w:eastAsia="仿宋_GB2312"/>
          <w:sz w:val="32"/>
        </w:rPr>
      </w:pPr>
      <w:r>
        <w:rPr>
          <w:rFonts w:hint="eastAsia" w:eastAsia="仿宋_GB2312"/>
          <w:sz w:val="32"/>
        </w:rPr>
        <w:t>报告日期：</w:t>
      </w:r>
      <w:r>
        <w:rPr>
          <w:rFonts w:hint="eastAsia" w:eastAsia="仿宋_GB2312"/>
          <w:sz w:val="32"/>
          <w:lang w:val="en-US" w:eastAsia="zh-CN"/>
        </w:rPr>
        <w:t>2023</w:t>
      </w:r>
      <w:r>
        <w:rPr>
          <w:rFonts w:hint="eastAsia" w:eastAsia="仿宋_GB2312"/>
          <w:sz w:val="32"/>
        </w:rPr>
        <w:t>年</w:t>
      </w:r>
      <w:r>
        <w:rPr>
          <w:rFonts w:hint="eastAsia" w:eastAsia="仿宋_GB2312"/>
          <w:sz w:val="32"/>
          <w:lang w:val="en-US" w:eastAsia="zh-CN"/>
        </w:rPr>
        <w:t>7</w:t>
      </w:r>
      <w:r>
        <w:rPr>
          <w:rFonts w:hint="eastAsia" w:eastAsia="仿宋_GB2312"/>
          <w:sz w:val="32"/>
        </w:rPr>
        <w:t>月</w:t>
      </w:r>
      <w:r>
        <w:rPr>
          <w:rFonts w:hint="eastAsia" w:eastAsia="仿宋_GB2312"/>
          <w:sz w:val="32"/>
          <w:lang w:val="en-US" w:eastAsia="zh-CN"/>
        </w:rPr>
        <w:t>12</w:t>
      </w:r>
      <w:r>
        <w:rPr>
          <w:rFonts w:hint="eastAsia" w:eastAsia="仿宋_GB2312"/>
          <w:sz w:val="32"/>
        </w:rPr>
        <w:t>日</w:t>
      </w:r>
    </w:p>
    <w:p>
      <w:pPr>
        <w:autoSpaceDN w:val="0"/>
        <w:jc w:val="center"/>
        <w:textAlignment w:val="center"/>
        <w:rPr>
          <w:rFonts w:hint="eastAsia" w:eastAsia="仿宋_GB2312"/>
          <w:sz w:val="32"/>
          <w:szCs w:val="32"/>
        </w:rPr>
        <w:sectPr>
          <w:footerReference r:id="rId3" w:type="default"/>
          <w:footerReference r:id="rId4" w:type="even"/>
          <w:pgSz w:w="11906" w:h="16838"/>
          <w:pgMar w:top="1588" w:right="1588" w:bottom="1588" w:left="1588" w:header="851" w:footer="992" w:gutter="0"/>
          <w:pgBorders>
            <w:top w:val="none" w:sz="0" w:space="0"/>
            <w:left w:val="none" w:sz="0" w:space="0"/>
            <w:bottom w:val="none" w:sz="0" w:space="0"/>
            <w:right w:val="none" w:sz="0" w:space="0"/>
          </w:pgBorders>
          <w:pgNumType w:fmt="decimal" w:start="1"/>
          <w:cols w:space="720" w:num="1"/>
          <w:docGrid w:type="linesAndChars" w:linePitch="602" w:charSpace="-782"/>
        </w:sectPr>
      </w:pPr>
      <w:r>
        <w:rPr>
          <w:rFonts w:hint="eastAsia" w:eastAsia="仿宋_GB2312"/>
          <w:sz w:val="32"/>
          <w:lang w:eastAsia="zh-CN"/>
        </w:rPr>
        <w:t>君山区</w:t>
      </w:r>
      <w:r>
        <w:rPr>
          <w:rFonts w:hint="eastAsia" w:eastAsia="仿宋_GB2312"/>
          <w:sz w:val="32"/>
        </w:rPr>
        <w:t>财政</w:t>
      </w:r>
      <w:r>
        <w:rPr>
          <w:rFonts w:hint="eastAsia" w:eastAsia="仿宋_GB2312"/>
          <w:sz w:val="32"/>
          <w:szCs w:val="32"/>
        </w:rPr>
        <w:t>局（制）</w:t>
      </w:r>
    </w:p>
    <w:tbl>
      <w:tblPr>
        <w:tblStyle w:val="8"/>
        <w:tblW w:w="980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5" w:type="dxa"/>
          <w:bottom w:w="0" w:type="dxa"/>
          <w:right w:w="15" w:type="dxa"/>
        </w:tblCellMar>
      </w:tblPr>
      <w:tblGrid>
        <w:gridCol w:w="1441"/>
        <w:gridCol w:w="213"/>
        <w:gridCol w:w="46"/>
        <w:gridCol w:w="1080"/>
        <w:gridCol w:w="210"/>
        <w:gridCol w:w="1145"/>
        <w:gridCol w:w="272"/>
        <w:gridCol w:w="1101"/>
        <w:gridCol w:w="1412"/>
        <w:gridCol w:w="103"/>
        <w:gridCol w:w="352"/>
        <w:gridCol w:w="1080"/>
        <w:gridCol w:w="105"/>
        <w:gridCol w:w="160"/>
        <w:gridCol w:w="139"/>
        <w:gridCol w:w="316"/>
        <w:gridCol w:w="6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9800" w:type="dxa"/>
            <w:gridSpan w:val="17"/>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黑体" w:hAnsi="黑体" w:eastAsia="黑体" w:cs="黑体"/>
                <w:color w:val="000000"/>
                <w:sz w:val="28"/>
                <w:szCs w:val="28"/>
              </w:rPr>
              <w:t>一、部门（单位）基本概况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1654"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联系人</w:t>
            </w:r>
          </w:p>
        </w:tc>
        <w:tc>
          <w:tcPr>
            <w:tcW w:w="3854" w:type="dxa"/>
            <w:gridSpan w:val="6"/>
            <w:vAlign w:val="center"/>
          </w:tcPr>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万小会</w:t>
            </w:r>
          </w:p>
        </w:tc>
        <w:tc>
          <w:tcPr>
            <w:tcW w:w="1515"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联络电话</w:t>
            </w:r>
          </w:p>
        </w:tc>
        <w:tc>
          <w:tcPr>
            <w:tcW w:w="2777" w:type="dxa"/>
            <w:gridSpan w:val="7"/>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13975096846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1654"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人员编制</w:t>
            </w:r>
          </w:p>
        </w:tc>
        <w:tc>
          <w:tcPr>
            <w:tcW w:w="3854" w:type="dxa"/>
            <w:gridSpan w:val="6"/>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55</w:t>
            </w:r>
          </w:p>
        </w:tc>
        <w:tc>
          <w:tcPr>
            <w:tcW w:w="1515"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实有人数</w:t>
            </w:r>
          </w:p>
        </w:tc>
        <w:tc>
          <w:tcPr>
            <w:tcW w:w="2777" w:type="dxa"/>
            <w:gridSpan w:val="7"/>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81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1500" w:hRule="atLeast"/>
          <w:jc w:val="center"/>
        </w:trPr>
        <w:tc>
          <w:tcPr>
            <w:tcW w:w="1654"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职能职责概述</w:t>
            </w:r>
          </w:p>
        </w:tc>
        <w:tc>
          <w:tcPr>
            <w:tcW w:w="8146" w:type="dxa"/>
            <w:gridSpan w:val="15"/>
            <w:vAlign w:val="center"/>
          </w:tcPr>
          <w:p>
            <w:pPr>
              <w:spacing w:line="600" w:lineRule="exact"/>
              <w:ind w:firstLine="480" w:firstLineChars="200"/>
              <w:rPr>
                <w:rFonts w:ascii="仿宋_GB2312" w:eastAsia="仿宋_GB2312"/>
                <w:sz w:val="24"/>
                <w:szCs w:val="24"/>
              </w:rPr>
            </w:pPr>
            <w:r>
              <w:rPr>
                <w:rFonts w:hint="eastAsia" w:ascii="仿宋_GB2312" w:eastAsia="仿宋_GB2312"/>
                <w:sz w:val="24"/>
                <w:szCs w:val="24"/>
              </w:rPr>
              <w:t>（一）负责市场综合监督管理。</w:t>
            </w:r>
          </w:p>
          <w:p>
            <w:pPr>
              <w:spacing w:line="600" w:lineRule="exact"/>
              <w:ind w:firstLine="480" w:firstLineChars="200"/>
              <w:rPr>
                <w:rFonts w:ascii="仿宋_GB2312" w:eastAsia="仿宋_GB2312"/>
                <w:sz w:val="24"/>
                <w:szCs w:val="24"/>
              </w:rPr>
            </w:pPr>
            <w:r>
              <w:rPr>
                <w:rFonts w:hint="eastAsia" w:ascii="仿宋_GB2312" w:eastAsia="仿宋_GB2312"/>
                <w:sz w:val="24"/>
                <w:szCs w:val="24"/>
              </w:rPr>
              <w:t>（二）负责市场主体统一登记注册。</w:t>
            </w:r>
          </w:p>
          <w:p>
            <w:pPr>
              <w:spacing w:line="600" w:lineRule="exact"/>
              <w:ind w:firstLine="480" w:firstLineChars="200"/>
              <w:rPr>
                <w:rFonts w:ascii="仿宋_GB2312" w:eastAsia="仿宋_GB2312"/>
                <w:sz w:val="24"/>
                <w:szCs w:val="24"/>
              </w:rPr>
            </w:pPr>
            <w:r>
              <w:rPr>
                <w:rFonts w:hint="eastAsia" w:ascii="仿宋_GB2312" w:eastAsia="仿宋_GB2312"/>
                <w:sz w:val="24"/>
                <w:szCs w:val="24"/>
              </w:rPr>
              <w:t>（三）负责市场主体信息公示和共享机制建设。</w:t>
            </w:r>
          </w:p>
          <w:p>
            <w:pPr>
              <w:spacing w:line="600" w:lineRule="exact"/>
              <w:ind w:firstLine="480" w:firstLineChars="200"/>
              <w:rPr>
                <w:rFonts w:hint="eastAsia" w:ascii="仿宋_GB2312" w:eastAsia="仿宋_GB2312"/>
                <w:sz w:val="24"/>
                <w:szCs w:val="24"/>
              </w:rPr>
            </w:pPr>
            <w:r>
              <w:rPr>
                <w:rFonts w:hint="eastAsia" w:ascii="仿宋_GB2312" w:eastAsia="仿宋_GB2312"/>
                <w:sz w:val="24"/>
                <w:szCs w:val="24"/>
              </w:rPr>
              <w:t>（四）负责组织和实施市场监管综合行政执法工作。</w:t>
            </w:r>
          </w:p>
          <w:p>
            <w:pPr>
              <w:spacing w:line="600" w:lineRule="exact"/>
              <w:ind w:firstLine="480" w:firstLineChars="200"/>
              <w:rPr>
                <w:rFonts w:hint="eastAsia" w:ascii="仿宋_GB2312" w:eastAsia="仿宋_GB2312"/>
                <w:sz w:val="24"/>
                <w:szCs w:val="24"/>
              </w:rPr>
            </w:pPr>
            <w:r>
              <w:rPr>
                <w:rFonts w:hint="eastAsia" w:ascii="仿宋_GB2312" w:eastAsia="仿宋_GB2312"/>
                <w:sz w:val="24"/>
                <w:szCs w:val="24"/>
              </w:rPr>
              <w:t>（五）负责监督管理市场秩序。</w:t>
            </w:r>
          </w:p>
          <w:p>
            <w:pPr>
              <w:spacing w:line="600" w:lineRule="exact"/>
              <w:ind w:firstLine="480" w:firstLineChars="200"/>
              <w:rPr>
                <w:rFonts w:ascii="仿宋_GB2312" w:eastAsia="仿宋_GB2312"/>
                <w:sz w:val="24"/>
                <w:szCs w:val="24"/>
              </w:rPr>
            </w:pPr>
            <w:r>
              <w:rPr>
                <w:rFonts w:hint="eastAsia" w:ascii="仿宋_GB2312" w:eastAsia="仿宋_GB2312"/>
                <w:sz w:val="24"/>
                <w:szCs w:val="24"/>
              </w:rPr>
              <w:t>（六）负责宏观质量管理。</w:t>
            </w:r>
          </w:p>
          <w:p>
            <w:pPr>
              <w:spacing w:line="600" w:lineRule="exact"/>
              <w:ind w:firstLine="480" w:firstLineChars="200"/>
              <w:rPr>
                <w:rFonts w:hint="eastAsia" w:ascii="仿宋_GB2312" w:eastAsia="仿宋_GB2312"/>
                <w:sz w:val="24"/>
                <w:szCs w:val="24"/>
              </w:rPr>
            </w:pPr>
            <w:r>
              <w:rPr>
                <w:rFonts w:hint="eastAsia" w:ascii="仿宋_GB2312" w:eastAsia="仿宋_GB2312"/>
                <w:sz w:val="24"/>
                <w:szCs w:val="24"/>
              </w:rPr>
              <w:t>（七）负责产品质量安全监督管理。</w:t>
            </w:r>
          </w:p>
          <w:p>
            <w:pPr>
              <w:spacing w:line="600" w:lineRule="exact"/>
              <w:ind w:firstLine="480" w:firstLineChars="200"/>
              <w:rPr>
                <w:rFonts w:hint="eastAsia" w:ascii="仿宋_GB2312" w:eastAsia="仿宋_GB2312"/>
                <w:sz w:val="24"/>
                <w:szCs w:val="24"/>
              </w:rPr>
            </w:pPr>
            <w:r>
              <w:rPr>
                <w:rFonts w:hint="eastAsia" w:ascii="仿宋_GB2312" w:eastAsia="仿宋_GB2312"/>
                <w:sz w:val="24"/>
                <w:szCs w:val="24"/>
              </w:rPr>
              <w:t>（八）负责特种设备安全监督管理。</w:t>
            </w:r>
          </w:p>
          <w:p>
            <w:pPr>
              <w:spacing w:line="600" w:lineRule="exact"/>
              <w:ind w:firstLine="480" w:firstLineChars="200"/>
              <w:rPr>
                <w:rFonts w:hint="eastAsia" w:ascii="仿宋_GB2312" w:eastAsia="仿宋_GB2312"/>
                <w:sz w:val="24"/>
                <w:szCs w:val="24"/>
              </w:rPr>
            </w:pPr>
            <w:r>
              <w:rPr>
                <w:rFonts w:hint="eastAsia" w:ascii="仿宋_GB2312" w:eastAsia="仿宋_GB2312"/>
                <w:sz w:val="24"/>
                <w:szCs w:val="24"/>
              </w:rPr>
              <w:t>（九）负责食品安全监督管理综合协调。</w:t>
            </w:r>
          </w:p>
          <w:p>
            <w:pPr>
              <w:spacing w:line="600" w:lineRule="exact"/>
              <w:ind w:firstLine="480" w:firstLineChars="200"/>
              <w:rPr>
                <w:rFonts w:hint="eastAsia" w:ascii="仿宋_GB2312" w:eastAsia="仿宋_GB2312"/>
                <w:sz w:val="24"/>
                <w:szCs w:val="24"/>
              </w:rPr>
            </w:pPr>
            <w:r>
              <w:rPr>
                <w:rFonts w:hint="eastAsia" w:ascii="仿宋_GB2312" w:eastAsia="仿宋_GB2312"/>
                <w:sz w:val="24"/>
                <w:szCs w:val="24"/>
              </w:rPr>
              <w:t>（十）负责食品安全监督管理。</w:t>
            </w:r>
          </w:p>
          <w:p>
            <w:pPr>
              <w:spacing w:line="600" w:lineRule="exact"/>
              <w:ind w:firstLine="480" w:firstLineChars="200"/>
              <w:rPr>
                <w:rFonts w:hint="eastAsia" w:ascii="仿宋_GB2312" w:eastAsia="仿宋_GB2312"/>
                <w:sz w:val="24"/>
                <w:szCs w:val="24"/>
              </w:rPr>
            </w:pPr>
            <w:r>
              <w:rPr>
                <w:rFonts w:hint="eastAsia" w:ascii="仿宋_GB2312" w:eastAsia="仿宋_GB2312"/>
                <w:sz w:val="24"/>
                <w:szCs w:val="24"/>
              </w:rPr>
              <w:t>（十一）负责统一管理计量工作。</w:t>
            </w:r>
          </w:p>
          <w:p>
            <w:pPr>
              <w:spacing w:line="600" w:lineRule="exact"/>
              <w:ind w:firstLine="480" w:firstLineChars="200"/>
              <w:rPr>
                <w:rFonts w:hint="eastAsia" w:ascii="仿宋_GB2312" w:eastAsia="仿宋_GB2312"/>
                <w:sz w:val="24"/>
                <w:szCs w:val="24"/>
              </w:rPr>
            </w:pPr>
            <w:r>
              <w:rPr>
                <w:rFonts w:hint="eastAsia" w:ascii="仿宋_GB2312" w:eastAsia="仿宋_GB2312"/>
                <w:sz w:val="24"/>
                <w:szCs w:val="24"/>
              </w:rPr>
              <w:t>（十二）负责统一管理标准化工作。</w:t>
            </w:r>
          </w:p>
          <w:p>
            <w:pPr>
              <w:spacing w:line="600" w:lineRule="exact"/>
              <w:ind w:firstLine="480" w:firstLineChars="200"/>
              <w:rPr>
                <w:rFonts w:hint="eastAsia" w:ascii="仿宋_GB2312" w:eastAsia="仿宋_GB2312"/>
                <w:sz w:val="24"/>
                <w:szCs w:val="24"/>
              </w:rPr>
            </w:pPr>
            <w:r>
              <w:rPr>
                <w:rFonts w:hint="eastAsia" w:ascii="仿宋_GB2312" w:eastAsia="仿宋_GB2312"/>
                <w:sz w:val="24"/>
                <w:szCs w:val="24"/>
              </w:rPr>
              <w:t>（十三）负责统一管理全区检验检测工作。</w:t>
            </w:r>
          </w:p>
          <w:p>
            <w:pPr>
              <w:spacing w:line="600" w:lineRule="exact"/>
              <w:ind w:firstLine="480" w:firstLineChars="200"/>
              <w:rPr>
                <w:rFonts w:hint="eastAsia" w:ascii="仿宋_GB2312" w:eastAsia="仿宋_GB2312"/>
                <w:sz w:val="24"/>
                <w:szCs w:val="24"/>
              </w:rPr>
            </w:pPr>
            <w:r>
              <w:rPr>
                <w:rFonts w:hint="eastAsia" w:ascii="仿宋_GB2312" w:eastAsia="仿宋_GB2312"/>
                <w:sz w:val="24"/>
                <w:szCs w:val="24"/>
              </w:rPr>
              <w:t>（十四）负责统一管理、监督和综合协调认证认可工作。</w:t>
            </w:r>
          </w:p>
          <w:p>
            <w:pPr>
              <w:spacing w:line="600" w:lineRule="exact"/>
              <w:ind w:firstLine="480" w:firstLineChars="200"/>
              <w:rPr>
                <w:rFonts w:hint="eastAsia" w:ascii="仿宋_GB2312" w:eastAsia="仿宋_GB2312"/>
                <w:sz w:val="24"/>
                <w:szCs w:val="24"/>
              </w:rPr>
            </w:pPr>
            <w:r>
              <w:rPr>
                <w:rFonts w:hint="eastAsia" w:ascii="仿宋_GB2312" w:eastAsia="仿宋_GB2312"/>
                <w:sz w:val="24"/>
                <w:szCs w:val="24"/>
              </w:rPr>
              <w:t>（十五）负责知识产权监督管理。</w:t>
            </w:r>
          </w:p>
          <w:p>
            <w:pPr>
              <w:spacing w:line="600" w:lineRule="exact"/>
              <w:ind w:firstLine="480" w:firstLineChars="200"/>
              <w:rPr>
                <w:rFonts w:hint="eastAsia" w:ascii="仿宋_GB2312" w:eastAsia="仿宋_GB2312"/>
                <w:sz w:val="24"/>
                <w:szCs w:val="24"/>
              </w:rPr>
            </w:pPr>
            <w:r>
              <w:rPr>
                <w:rFonts w:hint="eastAsia" w:ascii="仿宋_GB2312" w:eastAsia="仿宋_GB2312"/>
                <w:sz w:val="24"/>
                <w:szCs w:val="24"/>
              </w:rPr>
              <w:t>（十六）负责药品、医疗器械和化妆品安全监督管理。</w:t>
            </w:r>
          </w:p>
          <w:p>
            <w:pPr>
              <w:spacing w:line="600" w:lineRule="exact"/>
              <w:ind w:firstLine="480" w:firstLineChars="200"/>
              <w:rPr>
                <w:rFonts w:ascii="仿宋_GB2312" w:eastAsia="仿宋_GB2312"/>
                <w:sz w:val="24"/>
                <w:szCs w:val="24"/>
              </w:rPr>
            </w:pPr>
            <w:r>
              <w:rPr>
                <w:rFonts w:hint="eastAsia" w:ascii="仿宋_GB2312" w:eastAsia="仿宋_GB2312"/>
                <w:sz w:val="24"/>
                <w:szCs w:val="24"/>
              </w:rPr>
              <w:t>（十七）实施药品、医疗器械和化妆品上市后风险管理。</w:t>
            </w:r>
          </w:p>
          <w:p>
            <w:pPr>
              <w:spacing w:line="600" w:lineRule="exact"/>
              <w:ind w:firstLine="480" w:firstLineChars="200"/>
              <w:rPr>
                <w:rFonts w:ascii="仿宋_GB2312" w:eastAsia="仿宋_GB2312"/>
                <w:sz w:val="24"/>
                <w:szCs w:val="24"/>
              </w:rPr>
            </w:pPr>
            <w:r>
              <w:rPr>
                <w:rFonts w:hint="eastAsia" w:ascii="仿宋_GB2312" w:eastAsia="仿宋_GB2312"/>
                <w:sz w:val="24"/>
                <w:szCs w:val="24"/>
              </w:rPr>
              <w:t>（十八）负责市场监督管理科技和信息化建设、新闻宣传、交流与合作。</w:t>
            </w:r>
          </w:p>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eastAsia="仿宋_GB2312"/>
                <w:sz w:val="24"/>
                <w:szCs w:val="24"/>
              </w:rPr>
              <w:t>（十九）负责本单位、本系统的信访维稳和安全生产工作；完成区委、区人民政府交办的其他任务。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464" w:hRule="atLeast"/>
          <w:jc w:val="center"/>
        </w:trPr>
        <w:tc>
          <w:tcPr>
            <w:tcW w:w="1654"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年度主要</w:t>
            </w:r>
          </w:p>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工作内容</w:t>
            </w:r>
          </w:p>
        </w:tc>
        <w:tc>
          <w:tcPr>
            <w:tcW w:w="8146" w:type="dxa"/>
            <w:gridSpan w:val="15"/>
            <w:vAlign w:val="center"/>
          </w:tcPr>
          <w:p>
            <w:pPr>
              <w:keepNext w:val="0"/>
              <w:keepLines w:val="0"/>
              <w:pageBreakBefore w:val="0"/>
              <w:widowControl w:val="0"/>
              <w:kinsoku/>
              <w:wordWrap/>
              <w:overflowPunct/>
              <w:topLinePunct w:val="0"/>
              <w:autoSpaceDE/>
              <w:autoSpaceDN w:val="0"/>
              <w:bidi w:val="0"/>
              <w:adjustRightInd/>
              <w:snapToGrid/>
              <w:spacing w:line="360" w:lineRule="auto"/>
              <w:ind w:left="0" w:hanging="723" w:hangingChars="300"/>
              <w:jc w:val="left"/>
              <w:textAlignment w:val="center"/>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b/>
                <w:bCs/>
                <w:color w:val="000000"/>
                <w:sz w:val="24"/>
                <w:szCs w:val="24"/>
              </w:rPr>
              <w:t>任务1：</w:t>
            </w:r>
            <w:r>
              <w:rPr>
                <w:rFonts w:hint="eastAsia" w:ascii="仿宋_GB2312" w:hAnsi="仿宋_GB2312" w:eastAsia="仿宋_GB2312" w:cs="仿宋_GB2312"/>
                <w:kern w:val="2"/>
                <w:sz w:val="24"/>
                <w:szCs w:val="24"/>
                <w:lang w:val="en-US" w:eastAsia="zh-CN"/>
              </w:rPr>
              <w:t>坚持党建引领的红线,扎实开展“不忘初心、牢记使命”主题教育，抓班子带队伍，坚定干部职工理想信念。</w:t>
            </w:r>
          </w:p>
          <w:p>
            <w:pPr>
              <w:keepNext w:val="0"/>
              <w:keepLines w:val="0"/>
              <w:pageBreakBefore w:val="0"/>
              <w:widowControl w:val="0"/>
              <w:kinsoku/>
              <w:wordWrap/>
              <w:overflowPunct/>
              <w:topLinePunct w:val="0"/>
              <w:autoSpaceDE/>
              <w:autoSpaceDN w:val="0"/>
              <w:bidi w:val="0"/>
              <w:adjustRightInd/>
              <w:snapToGrid/>
              <w:spacing w:line="360" w:lineRule="auto"/>
              <w:ind w:left="0" w:hanging="723" w:hangingChars="300"/>
              <w:jc w:val="left"/>
              <w:textAlignment w:val="center"/>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b/>
                <w:bCs/>
                <w:color w:val="000000"/>
                <w:sz w:val="24"/>
                <w:szCs w:val="24"/>
              </w:rPr>
              <w:t>任务2：</w:t>
            </w:r>
            <w:r>
              <w:rPr>
                <w:rFonts w:hint="eastAsia" w:ascii="仿宋_GB2312" w:hAnsi="仿宋_GB2312" w:eastAsia="仿宋_GB2312" w:cs="仿宋_GB2312"/>
                <w:kern w:val="2"/>
                <w:sz w:val="24"/>
                <w:szCs w:val="24"/>
                <w:lang w:val="en-US" w:eastAsia="zh-CN"/>
              </w:rPr>
              <w:t>抓实商事改革的主线。进一步深化商事制度“放管服”改革，落实“一件事一次办”，优化营商环境，巩固成果，突出特色。</w:t>
            </w:r>
          </w:p>
          <w:p>
            <w:pPr>
              <w:keepNext w:val="0"/>
              <w:keepLines w:val="0"/>
              <w:pageBreakBefore w:val="0"/>
              <w:widowControl w:val="0"/>
              <w:kinsoku/>
              <w:wordWrap/>
              <w:overflowPunct/>
              <w:topLinePunct w:val="0"/>
              <w:autoSpaceDE/>
              <w:autoSpaceDN w:val="0"/>
              <w:bidi w:val="0"/>
              <w:adjustRightInd/>
              <w:snapToGrid/>
              <w:spacing w:line="360" w:lineRule="auto"/>
              <w:ind w:left="0" w:hanging="723" w:hangingChars="300"/>
              <w:jc w:val="left"/>
              <w:textAlignment w:val="center"/>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b/>
                <w:bCs/>
                <w:color w:val="000000"/>
                <w:sz w:val="24"/>
                <w:szCs w:val="24"/>
              </w:rPr>
              <w:t>任务3：</w:t>
            </w:r>
            <w:r>
              <w:rPr>
                <w:rFonts w:hint="eastAsia" w:ascii="仿宋_GB2312" w:hAnsi="仿宋_GB2312" w:eastAsia="仿宋_GB2312" w:cs="仿宋_GB2312"/>
                <w:kern w:val="2"/>
                <w:sz w:val="24"/>
                <w:szCs w:val="24"/>
                <w:lang w:val="en-US" w:eastAsia="zh-CN"/>
              </w:rPr>
              <w:t>守住市场安全的底线。突出食品药品特种设备、重点工业产品监管，防范风险，维护市场公平正义。紧扣消费维权的热线。</w:t>
            </w:r>
          </w:p>
          <w:p>
            <w:pPr>
              <w:autoSpaceDN w:val="0"/>
              <w:spacing w:line="320" w:lineRule="exact"/>
              <w:ind w:left="960" w:hanging="964" w:hangingChars="400"/>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b/>
                <w:bCs/>
                <w:kern w:val="2"/>
                <w:sz w:val="24"/>
                <w:szCs w:val="24"/>
                <w:lang w:val="en-US" w:eastAsia="zh-CN"/>
              </w:rPr>
              <w:t>任务4</w:t>
            </w:r>
            <w:r>
              <w:rPr>
                <w:rFonts w:hint="eastAsia" w:ascii="仿宋_GB2312" w:hAnsi="仿宋_GB2312" w:eastAsia="仿宋_GB2312" w:cs="仿宋_GB2312"/>
                <w:kern w:val="2"/>
                <w:sz w:val="24"/>
                <w:szCs w:val="24"/>
                <w:lang w:val="en-US" w:eastAsia="zh-CN"/>
              </w:rPr>
              <w:t>：围绕中心，服务大局，完善机构改革，服务区委区政府中心工作，维护好消费者权益。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7942" w:hRule="atLeast"/>
          <w:jc w:val="center"/>
        </w:trPr>
        <w:tc>
          <w:tcPr>
            <w:tcW w:w="1654" w:type="dxa"/>
            <w:gridSpan w:val="2"/>
            <w:vAlign w:val="center"/>
          </w:tcPr>
          <w:p>
            <w:pPr>
              <w:autoSpaceDN w:val="0"/>
              <w:spacing w:line="320" w:lineRule="exact"/>
              <w:jc w:val="center"/>
              <w:textAlignment w:val="center"/>
              <w:rPr>
                <w:rFonts w:hint="eastAsia" w:ascii="仿宋_GB2312" w:hAnsi="仿宋_GB2312" w:eastAsia="仿宋_GB2312" w:cs="仿宋_GB2312"/>
                <w:color w:val="000000"/>
                <w:spacing w:val="-6"/>
                <w:sz w:val="24"/>
              </w:rPr>
            </w:pPr>
            <w:r>
              <w:rPr>
                <w:rFonts w:hint="eastAsia" w:ascii="仿宋_GB2312" w:hAnsi="仿宋_GB2312" w:eastAsia="仿宋_GB2312" w:cs="仿宋_GB2312"/>
                <w:color w:val="000000"/>
                <w:spacing w:val="-6"/>
                <w:sz w:val="24"/>
              </w:rPr>
              <w:t>年度部门（单位）总体运行情况及取得的成绩</w:t>
            </w:r>
          </w:p>
        </w:tc>
        <w:tc>
          <w:tcPr>
            <w:tcW w:w="8146" w:type="dxa"/>
            <w:gridSpan w:val="15"/>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left="630" w:leftChars="0"/>
              <w:jc w:val="both"/>
              <w:textAlignment w:val="auto"/>
              <w:rPr>
                <w:rFonts w:hint="eastAsia" w:ascii="宋体" w:hAnsi="宋体" w:eastAsia="宋体" w:cs="宋体"/>
                <w:b w:val="0"/>
                <w:bCs w:val="0"/>
                <w:i w:val="0"/>
                <w:iCs w:val="0"/>
                <w:caps w:val="0"/>
                <w:color w:val="000000"/>
                <w:spacing w:val="0"/>
                <w:kern w:val="0"/>
                <w:sz w:val="21"/>
                <w:szCs w:val="21"/>
                <w:shd w:val="clear" w:color="auto" w:fill="FFFFFF"/>
                <w:lang w:val="en-US" w:eastAsia="zh-CN" w:bidi="ar"/>
              </w:rPr>
            </w:pPr>
            <w:r>
              <w:rPr>
                <w:rFonts w:hint="eastAsia" w:ascii="宋体" w:hAnsi="宋体" w:eastAsia="宋体" w:cs="宋体"/>
                <w:b/>
                <w:bCs/>
                <w:color w:val="000000"/>
                <w:sz w:val="21"/>
                <w:szCs w:val="21"/>
                <w:lang w:eastAsia="zh-CN"/>
              </w:rPr>
              <w:t>（一）</w:t>
            </w:r>
            <w:r>
              <w:rPr>
                <w:rFonts w:hint="eastAsia" w:ascii="宋体" w:hAnsi="宋体" w:eastAsia="宋体" w:cs="宋体"/>
                <w:b/>
                <w:bCs/>
                <w:color w:val="000000"/>
                <w:sz w:val="21"/>
                <w:szCs w:val="21"/>
              </w:rPr>
              <w:t>立足职能，聚力发展，营商环境实现再优化</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22" w:firstLineChars="200"/>
              <w:jc w:val="both"/>
              <w:textAlignment w:val="auto"/>
              <w:rPr>
                <w:rFonts w:hint="eastAsia" w:ascii="宋体" w:hAnsi="宋体" w:eastAsia="宋体" w:cs="宋体"/>
                <w:color w:val="000000"/>
                <w:sz w:val="21"/>
                <w:szCs w:val="21"/>
                <w:lang w:val="en-US" w:eastAsia="zh-CN"/>
              </w:rPr>
            </w:pPr>
            <w:r>
              <w:rPr>
                <w:rFonts w:hint="eastAsia" w:ascii="宋体" w:hAnsi="宋体" w:eastAsia="宋体" w:cs="宋体"/>
                <w:b/>
                <w:bCs/>
                <w:color w:val="000000"/>
                <w:sz w:val="21"/>
                <w:szCs w:val="21"/>
                <w:lang w:val="en-US" w:eastAsia="zh-CN"/>
              </w:rPr>
              <w:t>1.</w:t>
            </w:r>
            <w:r>
              <w:rPr>
                <w:rFonts w:hint="eastAsia" w:ascii="宋体" w:hAnsi="宋体" w:eastAsia="宋体" w:cs="宋体"/>
                <w:b/>
                <w:bCs/>
                <w:color w:val="000000"/>
                <w:sz w:val="21"/>
                <w:szCs w:val="21"/>
              </w:rPr>
              <w:t>市场主体保持稳</w:t>
            </w:r>
            <w:r>
              <w:rPr>
                <w:rFonts w:hint="eastAsia" w:ascii="宋体" w:hAnsi="宋体" w:eastAsia="宋体" w:cs="宋体"/>
                <w:b/>
                <w:bCs/>
                <w:color w:val="000000"/>
                <w:sz w:val="21"/>
                <w:szCs w:val="21"/>
                <w:lang w:eastAsia="zh-CN"/>
              </w:rPr>
              <w:t>定</w:t>
            </w:r>
            <w:r>
              <w:rPr>
                <w:rFonts w:hint="eastAsia" w:ascii="宋体" w:hAnsi="宋体" w:eastAsia="宋体" w:cs="宋体"/>
                <w:b/>
                <w:bCs/>
                <w:color w:val="000000"/>
                <w:sz w:val="21"/>
                <w:szCs w:val="21"/>
              </w:rPr>
              <w:t>增长。</w:t>
            </w:r>
            <w:r>
              <w:rPr>
                <w:rFonts w:hint="eastAsia" w:ascii="宋体" w:hAnsi="宋体" w:eastAsia="宋体" w:cs="宋体"/>
                <w:b/>
                <w:bCs/>
                <w:color w:val="000000"/>
                <w:sz w:val="21"/>
                <w:szCs w:val="21"/>
                <w:lang w:val="en-US" w:eastAsia="zh-CN"/>
              </w:rPr>
              <w:t>压缩办理时间。</w:t>
            </w:r>
            <w:r>
              <w:rPr>
                <w:rFonts w:hint="eastAsia" w:ascii="宋体" w:hAnsi="宋体" w:eastAsia="宋体" w:cs="宋体"/>
                <w:color w:val="000000"/>
                <w:sz w:val="21"/>
                <w:szCs w:val="21"/>
                <w:lang w:val="en-US" w:eastAsia="zh-CN"/>
              </w:rPr>
              <w:t>对申请资料齐全、符合法定形式的，企业设立登记在2小时内办结，开办企业实现“一天办结”，目前90%以上已实现当场办结。优化流程，推行直接取消审批、审批改备案、实行告知承诺等方式打通市场主体办事创业堵点、促进营商环境提升。对其他涉企经营许可事项，按照“一件事一次办”改革要求，综合运用精简许可条件、优化审批流程、压缩审批时间等方式，提高审批效率。</w:t>
            </w:r>
            <w:r>
              <w:rPr>
                <w:rFonts w:hint="eastAsia" w:ascii="宋体" w:hAnsi="宋体" w:eastAsia="宋体" w:cs="宋体"/>
                <w:b/>
                <w:bCs/>
                <w:color w:val="000000"/>
                <w:sz w:val="21"/>
                <w:szCs w:val="21"/>
                <w:lang w:val="en-US" w:eastAsia="zh-CN"/>
              </w:rPr>
              <w:t>推行自助办理。</w:t>
            </w:r>
            <w:r>
              <w:rPr>
                <w:rFonts w:hint="eastAsia" w:ascii="宋体" w:hAnsi="宋体" w:eastAsia="宋体" w:cs="宋体"/>
                <w:color w:val="000000"/>
                <w:sz w:val="21"/>
                <w:szCs w:val="21"/>
                <w:lang w:val="en-US" w:eastAsia="zh-CN"/>
              </w:rPr>
              <w:t>在政务大厅设立“市场主体开办专窗”、“市场主体帮办代办专区”，配备自助电脑、自助打证机等设备，安排专人全程代办，让商事主体登记更加高效；</w:t>
            </w:r>
            <w:r>
              <w:rPr>
                <w:rFonts w:hint="eastAsia" w:ascii="宋体" w:hAnsi="宋体" w:eastAsia="宋体" w:cs="宋体"/>
                <w:b w:val="0"/>
                <w:bCs w:val="0"/>
                <w:color w:val="000000"/>
                <w:sz w:val="21"/>
                <w:szCs w:val="21"/>
                <w:lang w:val="en-US" w:eastAsia="zh-CN"/>
              </w:rPr>
              <w:t>积极开展“我为市场主体倍增做贡献”活动；</w:t>
            </w:r>
            <w:r>
              <w:rPr>
                <w:rFonts w:hint="eastAsia" w:ascii="宋体" w:hAnsi="宋体" w:eastAsia="宋体" w:cs="宋体"/>
                <w:color w:val="000000"/>
                <w:sz w:val="21"/>
                <w:szCs w:val="21"/>
                <w:lang w:val="en-US" w:eastAsia="zh-CN"/>
              </w:rPr>
              <w:t>抽调业务骨干组建“市场主体倍增工作”小分队，深入乡镇为有意愿且符合条件人员免费代办申领营业执照；</w:t>
            </w:r>
            <w:r>
              <w:rPr>
                <w:rFonts w:hint="eastAsia" w:ascii="宋体" w:hAnsi="宋体" w:eastAsia="宋体" w:cs="宋体"/>
                <w:b/>
                <w:bCs/>
                <w:color w:val="000000"/>
                <w:sz w:val="21"/>
                <w:szCs w:val="21"/>
                <w:lang w:val="en-US" w:eastAsia="zh-CN"/>
              </w:rPr>
              <w:t>推广“一网通办”和企业网上登记。</w:t>
            </w:r>
            <w:r>
              <w:rPr>
                <w:rFonts w:hint="eastAsia" w:ascii="宋体" w:hAnsi="宋体" w:eastAsia="宋体" w:cs="宋体"/>
                <w:color w:val="000000"/>
                <w:sz w:val="21"/>
                <w:szCs w:val="21"/>
                <w:lang w:val="en-US" w:eastAsia="zh-CN"/>
              </w:rPr>
              <w:t>对网上登记申请及时审查通过，对符合条件的简易注销申请、资料齐全的当场办结。一系列便民便企的有力举措，推动了营商环境持续优化，持续提升市场主体的获得感和满意度。2022年，全区共有各类市场主体16169户，同比增长26.7%，其中实有企业2466户，同比增长50.6%；个体户13703户，同比增长17.8%。</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22" w:firstLineChars="200"/>
              <w:jc w:val="both"/>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b/>
                <w:bCs/>
                <w:color w:val="000000"/>
                <w:sz w:val="21"/>
                <w:szCs w:val="21"/>
                <w:lang w:val="en-US" w:eastAsia="zh-CN"/>
              </w:rPr>
              <w:t>2.</w:t>
            </w:r>
            <w:r>
              <w:rPr>
                <w:rFonts w:hint="eastAsia" w:ascii="宋体" w:hAnsi="宋体" w:eastAsia="宋体" w:cs="宋体"/>
                <w:b/>
                <w:bCs/>
                <w:color w:val="000000"/>
                <w:sz w:val="21"/>
                <w:szCs w:val="21"/>
              </w:rPr>
              <w:t>事中事后监管得到新加强。</w:t>
            </w:r>
            <w:r>
              <w:rPr>
                <w:rFonts w:hint="eastAsia" w:ascii="宋体" w:hAnsi="宋体" w:eastAsia="宋体" w:cs="宋体"/>
                <w:color w:val="000000"/>
                <w:sz w:val="21"/>
                <w:szCs w:val="21"/>
              </w:rPr>
              <w:t>围绕食品药品安全、特种设备安全等重点领域，加大放宽准入后的监管力度。</w:t>
            </w:r>
            <w:r>
              <w:rPr>
                <w:rFonts w:hint="eastAsia" w:ascii="宋体" w:hAnsi="宋体" w:eastAsia="宋体" w:cs="宋体"/>
                <w:b/>
                <w:bCs/>
                <w:color w:val="000000"/>
                <w:sz w:val="21"/>
                <w:szCs w:val="21"/>
                <w:lang w:eastAsia="zh-CN"/>
              </w:rPr>
              <w:t>完善工作机制。</w:t>
            </w:r>
            <w:r>
              <w:rPr>
                <w:rFonts w:hint="eastAsia" w:ascii="宋体" w:hAnsi="宋体" w:eastAsia="宋体" w:cs="宋体"/>
                <w:b w:val="0"/>
                <w:bCs w:val="0"/>
                <w:color w:val="000000"/>
                <w:sz w:val="21"/>
                <w:szCs w:val="21"/>
                <w:lang w:eastAsia="zh-CN"/>
              </w:rPr>
              <w:t>制定</w:t>
            </w:r>
            <w:r>
              <w:rPr>
                <w:rFonts w:hint="eastAsia" w:ascii="宋体" w:hAnsi="宋体" w:eastAsia="宋体" w:cs="宋体"/>
                <w:b w:val="0"/>
                <w:bCs w:val="0"/>
                <w:color w:val="000000"/>
                <w:sz w:val="21"/>
                <w:szCs w:val="21"/>
              </w:rPr>
              <w:t>出台了</w:t>
            </w:r>
            <w:r>
              <w:rPr>
                <w:rFonts w:hint="eastAsia" w:ascii="宋体" w:hAnsi="宋体" w:eastAsia="宋体" w:cs="宋体"/>
                <w:b w:val="0"/>
                <w:bCs w:val="0"/>
                <w:color w:val="000000"/>
                <w:kern w:val="2"/>
                <w:sz w:val="21"/>
                <w:szCs w:val="21"/>
                <w:rtl w:val="0"/>
                <w:lang w:val="zh-TW" w:eastAsia="zh-TW"/>
              </w:rPr>
              <w:t>《</w:t>
            </w:r>
            <w:r>
              <w:rPr>
                <w:rFonts w:hint="eastAsia" w:ascii="宋体" w:hAnsi="宋体" w:eastAsia="宋体" w:cs="宋体"/>
                <w:b w:val="0"/>
                <w:bCs w:val="0"/>
                <w:color w:val="000000"/>
                <w:sz w:val="21"/>
                <w:szCs w:val="21"/>
                <w:rtl w:val="0"/>
                <w:lang w:val="zh-TW" w:eastAsia="zh-TW"/>
              </w:rPr>
              <w:t>君山区市场监管领域</w:t>
            </w:r>
            <w:r>
              <w:rPr>
                <w:rFonts w:hint="eastAsia" w:ascii="宋体" w:hAnsi="宋体" w:eastAsia="宋体" w:cs="宋体"/>
                <w:b w:val="0"/>
                <w:bCs w:val="0"/>
                <w:color w:val="000000"/>
                <w:sz w:val="21"/>
                <w:szCs w:val="21"/>
                <w:rtl w:val="0"/>
                <w:lang w:val="en-US"/>
              </w:rPr>
              <w:t>“</w:t>
            </w:r>
            <w:r>
              <w:rPr>
                <w:rFonts w:hint="eastAsia" w:ascii="宋体" w:hAnsi="宋体" w:eastAsia="宋体" w:cs="宋体"/>
                <w:b w:val="0"/>
                <w:bCs w:val="0"/>
                <w:color w:val="000000"/>
                <w:sz w:val="21"/>
                <w:szCs w:val="21"/>
                <w:rtl w:val="0"/>
                <w:lang w:val="zh-TW" w:eastAsia="zh-TW"/>
              </w:rPr>
              <w:t>双随机</w:t>
            </w:r>
            <w:r>
              <w:rPr>
                <w:rFonts w:hint="eastAsia" w:ascii="宋体" w:hAnsi="宋体" w:eastAsia="宋体" w:cs="宋体"/>
                <w:b w:val="0"/>
                <w:bCs w:val="0"/>
                <w:color w:val="000000"/>
                <w:sz w:val="21"/>
                <w:szCs w:val="21"/>
                <w:rtl w:val="0"/>
                <w:lang w:val="en-US" w:eastAsia="zh-CN"/>
              </w:rPr>
              <w:t xml:space="preserve"> </w:t>
            </w:r>
            <w:r>
              <w:rPr>
                <w:rFonts w:hint="eastAsia" w:ascii="宋体" w:hAnsi="宋体" w:eastAsia="宋体" w:cs="宋体"/>
                <w:b w:val="0"/>
                <w:bCs w:val="0"/>
                <w:color w:val="000000"/>
                <w:sz w:val="21"/>
                <w:szCs w:val="21"/>
                <w:rtl w:val="0"/>
                <w:lang w:val="zh-TW" w:eastAsia="zh-TW"/>
              </w:rPr>
              <w:t>一公开</w:t>
            </w:r>
            <w:r>
              <w:rPr>
                <w:rFonts w:hint="eastAsia" w:ascii="宋体" w:hAnsi="宋体" w:eastAsia="宋体" w:cs="宋体"/>
                <w:b w:val="0"/>
                <w:bCs w:val="0"/>
                <w:color w:val="000000"/>
                <w:sz w:val="21"/>
                <w:szCs w:val="21"/>
                <w:rtl w:val="0"/>
                <w:lang w:val="en-US"/>
              </w:rPr>
              <w:t>”</w:t>
            </w:r>
            <w:r>
              <w:rPr>
                <w:rFonts w:hint="eastAsia" w:ascii="宋体" w:hAnsi="宋体" w:eastAsia="宋体" w:cs="宋体"/>
                <w:b w:val="0"/>
                <w:bCs w:val="0"/>
                <w:color w:val="000000"/>
                <w:sz w:val="21"/>
                <w:szCs w:val="21"/>
                <w:rtl w:val="0"/>
                <w:lang w:val="zh-TW" w:eastAsia="zh-TW"/>
              </w:rPr>
              <w:t>监管工作考核办法》</w:t>
            </w:r>
            <w:r>
              <w:rPr>
                <w:rFonts w:hint="eastAsia" w:ascii="宋体" w:hAnsi="宋体" w:eastAsia="宋体" w:cs="宋体"/>
                <w:b w:val="0"/>
                <w:bCs w:val="0"/>
                <w:color w:val="000000"/>
                <w:sz w:val="21"/>
                <w:szCs w:val="21"/>
              </w:rPr>
              <w:t>《</w:t>
            </w:r>
            <w:r>
              <w:rPr>
                <w:rFonts w:hint="eastAsia" w:ascii="宋体" w:hAnsi="宋体" w:eastAsia="宋体" w:cs="宋体"/>
                <w:b w:val="0"/>
                <w:bCs w:val="0"/>
                <w:color w:val="000000"/>
                <w:sz w:val="21"/>
                <w:szCs w:val="21"/>
                <w:rtl w:val="0"/>
                <w:lang w:val="zh-TW" w:eastAsia="zh-TW"/>
              </w:rPr>
              <w:t>君山区</w:t>
            </w:r>
            <w:r>
              <w:rPr>
                <w:rFonts w:hint="eastAsia" w:ascii="宋体" w:hAnsi="宋体" w:eastAsia="宋体" w:cs="宋体"/>
                <w:b w:val="0"/>
                <w:bCs w:val="0"/>
                <w:color w:val="000000"/>
                <w:sz w:val="21"/>
                <w:szCs w:val="21"/>
                <w:rtl w:val="0"/>
                <w:lang w:val="en-US"/>
              </w:rPr>
              <w:t>2022</w:t>
            </w:r>
            <w:r>
              <w:rPr>
                <w:rFonts w:hint="eastAsia" w:ascii="宋体" w:hAnsi="宋体" w:eastAsia="宋体" w:cs="宋体"/>
                <w:b w:val="0"/>
                <w:bCs w:val="0"/>
                <w:color w:val="000000"/>
                <w:sz w:val="21"/>
                <w:szCs w:val="21"/>
                <w:rtl w:val="0"/>
                <w:lang w:val="zh-TW" w:eastAsia="zh-TW"/>
              </w:rPr>
              <w:t>年度跨部门联合抽查计划》</w:t>
            </w:r>
            <w:r>
              <w:rPr>
                <w:rFonts w:hint="eastAsia" w:ascii="宋体" w:hAnsi="宋体" w:eastAsia="宋体" w:cs="宋体"/>
                <w:b w:val="0"/>
                <w:bCs w:val="0"/>
                <w:color w:val="000000"/>
                <w:sz w:val="21"/>
                <w:szCs w:val="21"/>
                <w:rtl w:val="0"/>
                <w:lang w:val="zh-TW" w:eastAsia="zh-CN"/>
              </w:rPr>
              <w:t>等文件，夯实了制度保障。</w:t>
            </w:r>
            <w:r>
              <w:rPr>
                <w:rFonts w:hint="eastAsia" w:ascii="宋体" w:hAnsi="宋体" w:eastAsia="宋体" w:cs="宋体"/>
                <w:b/>
                <w:bCs/>
                <w:color w:val="000000"/>
                <w:kern w:val="2"/>
                <w:sz w:val="21"/>
                <w:szCs w:val="21"/>
                <w:rtl w:val="0"/>
                <w:lang w:val="zh-TW" w:eastAsia="zh-TW"/>
              </w:rPr>
              <w:t>推进工作落实</w:t>
            </w:r>
            <w:r>
              <w:rPr>
                <w:rFonts w:hint="eastAsia" w:ascii="宋体" w:hAnsi="宋体" w:eastAsia="宋体" w:cs="宋体"/>
                <w:b/>
                <w:bCs/>
                <w:color w:val="000000"/>
                <w:kern w:val="2"/>
                <w:sz w:val="21"/>
                <w:szCs w:val="21"/>
                <w:rtl w:val="0"/>
                <w:lang w:val="zh-TW" w:eastAsia="zh-CN"/>
              </w:rPr>
              <w:t>。</w:t>
            </w:r>
            <w:r>
              <w:rPr>
                <w:rFonts w:hint="eastAsia" w:ascii="宋体" w:hAnsi="宋体" w:eastAsia="宋体" w:cs="宋体"/>
                <w:b w:val="0"/>
                <w:bCs w:val="0"/>
                <w:caps w:val="0"/>
                <w:smallCaps w:val="0"/>
                <w:color w:val="000000"/>
                <w:spacing w:val="0"/>
                <w:sz w:val="21"/>
                <w:szCs w:val="21"/>
                <w:rtl w:val="0"/>
                <w:lang w:val="zh-TW" w:eastAsia="zh-TW"/>
              </w:rPr>
              <w:t>录入双随机平台检查对象库数据量</w:t>
            </w:r>
            <w:r>
              <w:rPr>
                <w:rFonts w:hint="eastAsia" w:ascii="宋体" w:hAnsi="宋体" w:eastAsia="宋体" w:cs="宋体"/>
                <w:b w:val="0"/>
                <w:bCs w:val="0"/>
                <w:color w:val="000000"/>
                <w:sz w:val="21"/>
                <w:szCs w:val="21"/>
                <w:rtl w:val="0"/>
                <w:lang w:val="zh-CN" w:eastAsia="zh-CN"/>
              </w:rPr>
              <w:t>21</w:t>
            </w:r>
            <w:r>
              <w:rPr>
                <w:rFonts w:hint="eastAsia" w:ascii="宋体" w:hAnsi="宋体" w:eastAsia="宋体" w:cs="宋体"/>
                <w:b w:val="0"/>
                <w:bCs w:val="0"/>
                <w:color w:val="000000"/>
                <w:sz w:val="21"/>
                <w:szCs w:val="21"/>
                <w:rtl w:val="0"/>
                <w:lang w:val="en-US" w:eastAsia="zh-CN"/>
              </w:rPr>
              <w:t>705</w:t>
            </w:r>
            <w:r>
              <w:rPr>
                <w:rFonts w:hint="eastAsia" w:ascii="宋体" w:hAnsi="宋体" w:eastAsia="宋体" w:cs="宋体"/>
                <w:b w:val="0"/>
                <w:bCs w:val="0"/>
                <w:caps w:val="0"/>
                <w:smallCaps w:val="0"/>
                <w:color w:val="000000"/>
                <w:spacing w:val="0"/>
                <w:sz w:val="21"/>
                <w:szCs w:val="21"/>
                <w:rtl w:val="0"/>
                <w:lang w:val="zh-TW" w:eastAsia="zh-TW"/>
              </w:rPr>
              <w:t>条，</w:t>
            </w:r>
            <w:r>
              <w:rPr>
                <w:rFonts w:hint="eastAsia" w:ascii="宋体" w:hAnsi="宋体" w:eastAsia="宋体" w:cs="宋体"/>
                <w:b w:val="0"/>
                <w:bCs w:val="0"/>
                <w:caps w:val="0"/>
                <w:smallCaps w:val="0"/>
                <w:color w:val="000000"/>
                <w:spacing w:val="0"/>
                <w:sz w:val="21"/>
                <w:szCs w:val="21"/>
                <w:rtl w:val="0"/>
                <w:lang w:val="zh-TW" w:eastAsia="zh-CN"/>
              </w:rPr>
              <w:t>录入系统检查执法人员</w:t>
            </w:r>
            <w:r>
              <w:rPr>
                <w:rFonts w:hint="eastAsia" w:ascii="宋体" w:hAnsi="宋体" w:eastAsia="宋体" w:cs="宋体"/>
                <w:b w:val="0"/>
                <w:bCs w:val="0"/>
                <w:caps w:val="0"/>
                <w:smallCaps w:val="0"/>
                <w:color w:val="000000"/>
                <w:spacing w:val="0"/>
                <w:sz w:val="21"/>
                <w:szCs w:val="21"/>
                <w:rtl w:val="0"/>
                <w:lang w:val="en-US" w:eastAsia="zh-CN"/>
              </w:rPr>
              <w:t>323人，</w:t>
            </w:r>
            <w:r>
              <w:rPr>
                <w:rFonts w:hint="eastAsia" w:ascii="宋体" w:hAnsi="宋体" w:eastAsia="宋体" w:cs="宋体"/>
                <w:b w:val="0"/>
                <w:bCs w:val="0"/>
                <w:caps w:val="0"/>
                <w:smallCaps w:val="0"/>
                <w:color w:val="000000"/>
                <w:spacing w:val="0"/>
                <w:sz w:val="21"/>
                <w:szCs w:val="21"/>
                <w:rtl w:val="0"/>
                <w:lang w:val="zh-TW" w:eastAsia="zh-TW"/>
              </w:rPr>
              <w:t>制定或接收抽查任务</w:t>
            </w:r>
            <w:r>
              <w:rPr>
                <w:rFonts w:hint="eastAsia" w:ascii="宋体" w:hAnsi="宋体" w:eastAsia="宋体" w:cs="宋体"/>
                <w:b w:val="0"/>
                <w:bCs w:val="0"/>
                <w:color w:val="000000"/>
                <w:sz w:val="21"/>
                <w:szCs w:val="21"/>
                <w:rtl w:val="0"/>
                <w:lang w:val="en-US" w:eastAsia="zh-CN"/>
              </w:rPr>
              <w:t>100</w:t>
            </w:r>
            <w:r>
              <w:rPr>
                <w:rFonts w:hint="eastAsia" w:ascii="宋体" w:hAnsi="宋体" w:eastAsia="宋体" w:cs="宋体"/>
                <w:caps w:val="0"/>
                <w:smallCaps w:val="0"/>
                <w:color w:val="000000"/>
                <w:spacing w:val="0"/>
                <w:sz w:val="21"/>
                <w:szCs w:val="21"/>
                <w:rtl w:val="0"/>
                <w:lang w:val="zh-TW" w:eastAsia="zh-TW"/>
              </w:rPr>
              <w:t>项，</w:t>
            </w:r>
            <w:r>
              <w:rPr>
                <w:rFonts w:hint="eastAsia" w:ascii="宋体" w:hAnsi="宋体" w:eastAsia="宋体" w:cs="宋体"/>
                <w:caps w:val="0"/>
                <w:smallCaps w:val="0"/>
                <w:color w:val="000000"/>
                <w:spacing w:val="0"/>
                <w:sz w:val="21"/>
                <w:szCs w:val="21"/>
                <w:rtl w:val="0"/>
                <w:lang w:val="zh-TW" w:eastAsia="zh-CN"/>
              </w:rPr>
              <w:t>其中</w:t>
            </w:r>
            <w:r>
              <w:rPr>
                <w:rFonts w:hint="eastAsia" w:ascii="宋体" w:hAnsi="宋体" w:eastAsia="宋体" w:cs="宋体"/>
                <w:color w:val="000000"/>
                <w:kern w:val="2"/>
                <w:sz w:val="21"/>
                <w:szCs w:val="21"/>
                <w:rtl w:val="0"/>
                <w:lang w:val="zh-TW" w:eastAsia="zh-CN"/>
              </w:rPr>
              <w:t>部门联合</w:t>
            </w:r>
            <w:r>
              <w:rPr>
                <w:rFonts w:hint="eastAsia" w:ascii="宋体" w:hAnsi="宋体" w:eastAsia="宋体" w:cs="宋体"/>
                <w:caps w:val="0"/>
                <w:smallCaps w:val="0"/>
                <w:color w:val="000000"/>
                <w:spacing w:val="0"/>
                <w:sz w:val="21"/>
                <w:szCs w:val="21"/>
                <w:rtl w:val="0"/>
                <w:lang w:val="zh-TW" w:eastAsia="zh-TW"/>
              </w:rPr>
              <w:t>制定或接收的抽查任务</w:t>
            </w:r>
            <w:r>
              <w:rPr>
                <w:rFonts w:hint="eastAsia" w:ascii="宋体" w:hAnsi="宋体" w:eastAsia="宋体" w:cs="宋体"/>
                <w:color w:val="000000"/>
                <w:sz w:val="21"/>
                <w:szCs w:val="21"/>
                <w:rtl w:val="0"/>
                <w:lang w:val="en-US" w:eastAsia="zh-CN"/>
              </w:rPr>
              <w:t>32</w:t>
            </w:r>
            <w:r>
              <w:rPr>
                <w:rFonts w:hint="eastAsia" w:ascii="宋体" w:hAnsi="宋体" w:eastAsia="宋体" w:cs="宋体"/>
                <w:caps w:val="0"/>
                <w:smallCaps w:val="0"/>
                <w:color w:val="000000"/>
                <w:spacing w:val="0"/>
                <w:sz w:val="21"/>
                <w:szCs w:val="21"/>
                <w:rtl w:val="0"/>
                <w:lang w:val="zh-TW" w:eastAsia="zh-TW"/>
              </w:rPr>
              <w:t>项</w:t>
            </w:r>
            <w:r>
              <w:rPr>
                <w:rFonts w:hint="eastAsia" w:ascii="宋体" w:hAnsi="宋体" w:eastAsia="宋体" w:cs="宋体"/>
                <w:caps w:val="0"/>
                <w:smallCaps w:val="0"/>
                <w:color w:val="000000"/>
                <w:spacing w:val="0"/>
                <w:sz w:val="21"/>
                <w:szCs w:val="21"/>
                <w:rtl w:val="0"/>
                <w:lang w:val="zh-TW" w:eastAsia="zh-CN"/>
              </w:rPr>
              <w:t>，已全部完成检查结果录入和公示。</w:t>
            </w:r>
            <w:r>
              <w:rPr>
                <w:rFonts w:hint="eastAsia" w:ascii="宋体" w:hAnsi="宋体" w:eastAsia="宋体" w:cs="宋体"/>
                <w:b/>
                <w:bCs/>
                <w:color w:val="000000"/>
                <w:sz w:val="21"/>
                <w:szCs w:val="21"/>
                <w:lang w:eastAsia="zh-CN"/>
              </w:rPr>
              <w:t>加强</w:t>
            </w:r>
            <w:r>
              <w:rPr>
                <w:rFonts w:hint="eastAsia" w:ascii="宋体" w:hAnsi="宋体" w:eastAsia="宋体" w:cs="宋体"/>
                <w:b/>
                <w:bCs/>
                <w:i w:val="0"/>
                <w:iCs w:val="0"/>
                <w:caps w:val="0"/>
                <w:color w:val="000000"/>
                <w:spacing w:val="0"/>
                <w:sz w:val="21"/>
                <w:szCs w:val="21"/>
                <w:shd w:val="clear" w:color="auto" w:fill="FFFFFF"/>
                <w:lang w:val="en-US" w:eastAsia="zh-CN"/>
              </w:rPr>
              <w:t>校外托管机构管理。</w:t>
            </w:r>
            <w:r>
              <w:rPr>
                <w:rFonts w:hint="eastAsia" w:ascii="宋体" w:hAnsi="宋体" w:eastAsia="宋体" w:cs="宋体"/>
                <w:b w:val="0"/>
                <w:bCs w:val="0"/>
                <w:color w:val="000000"/>
                <w:sz w:val="21"/>
                <w:szCs w:val="21"/>
                <w:lang w:val="en-US" w:eastAsia="zh-CN"/>
              </w:rPr>
              <w:t>共摸排校外托管机构16户，</w:t>
            </w:r>
            <w:r>
              <w:rPr>
                <w:rFonts w:hint="eastAsia" w:ascii="宋体" w:hAnsi="宋体" w:eastAsia="宋体" w:cs="宋体"/>
                <w:b w:val="0"/>
                <w:i w:val="0"/>
                <w:caps w:val="0"/>
                <w:color w:val="000000"/>
                <w:spacing w:val="0"/>
                <w:w w:val="100"/>
                <w:sz w:val="21"/>
                <w:szCs w:val="21"/>
                <w:lang w:val="en-US" w:eastAsia="zh-CN"/>
              </w:rPr>
              <w:t>立案查处2起，罚没款4万元</w:t>
            </w:r>
            <w:r>
              <w:rPr>
                <w:rFonts w:hint="eastAsia" w:ascii="宋体" w:hAnsi="宋体" w:eastAsia="宋体" w:cs="宋体"/>
                <w:b w:val="0"/>
                <w:bCs w:val="0"/>
                <w:color w:val="000000"/>
                <w:sz w:val="21"/>
                <w:szCs w:val="21"/>
                <w:lang w:val="en-US" w:eastAsia="zh-CN"/>
              </w:rPr>
              <w:t>。</w:t>
            </w:r>
            <w:r>
              <w:rPr>
                <w:rStyle w:val="10"/>
                <w:rFonts w:hint="eastAsia" w:ascii="宋体" w:hAnsi="宋体" w:eastAsia="宋体" w:cs="宋体"/>
                <w:b/>
                <w:bCs/>
                <w:color w:val="000000"/>
                <w:sz w:val="21"/>
                <w:szCs w:val="21"/>
                <w:lang w:eastAsia="zh-CN"/>
              </w:rPr>
              <w:t>加大宣传力度。</w:t>
            </w:r>
            <w:r>
              <w:rPr>
                <w:rStyle w:val="10"/>
                <w:rFonts w:hint="eastAsia" w:ascii="宋体" w:hAnsi="宋体" w:eastAsia="宋体" w:cs="宋体"/>
                <w:b w:val="0"/>
                <w:bCs w:val="0"/>
                <w:color w:val="000000"/>
                <w:sz w:val="21"/>
                <w:szCs w:val="21"/>
                <w:lang w:eastAsia="zh-CN"/>
              </w:rPr>
              <w:t>通过</w:t>
            </w:r>
            <w:r>
              <w:rPr>
                <w:rFonts w:hint="eastAsia" w:ascii="宋体" w:hAnsi="宋体" w:eastAsia="宋体" w:cs="宋体"/>
                <w:b w:val="0"/>
                <w:bCs w:val="0"/>
                <w:color w:val="000000"/>
                <w:kern w:val="2"/>
                <w:sz w:val="21"/>
                <w:szCs w:val="21"/>
                <w:lang w:val="en-US" w:eastAsia="zh-CN" w:bidi="ar-SA"/>
              </w:rPr>
              <w:t>张贴宣传海报、上门指导填报等多种方式</w:t>
            </w:r>
            <w:r>
              <w:rPr>
                <w:rFonts w:hint="eastAsia" w:ascii="宋体" w:hAnsi="宋体" w:eastAsia="宋体" w:cs="宋体"/>
                <w:color w:val="000000"/>
                <w:kern w:val="2"/>
                <w:sz w:val="21"/>
                <w:szCs w:val="21"/>
                <w:lang w:val="en-US" w:eastAsia="zh-CN" w:bidi="ar-SA"/>
              </w:rPr>
              <w:t>提升市场主体知晓率和积极性，确保工作有力有序推进。2022年企业年报率达91.81%，农专年报率81.8%，个体年报率96.95%</w:t>
            </w:r>
            <w:r>
              <w:rPr>
                <w:rFonts w:hint="eastAsia" w:ascii="宋体" w:hAnsi="宋体" w:eastAsia="宋体" w:cs="宋体"/>
                <w:b w:val="0"/>
                <w:bCs w:val="0"/>
                <w:color w:val="000000"/>
                <w:kern w:val="2"/>
                <w:sz w:val="21"/>
                <w:szCs w:val="21"/>
                <w:lang w:val="en-US" w:eastAsia="zh-CN" w:bidi="ar-SA"/>
              </w:rPr>
              <w:t>，</w:t>
            </w:r>
            <w:r>
              <w:rPr>
                <w:rFonts w:hint="eastAsia" w:ascii="宋体" w:hAnsi="宋体" w:eastAsia="宋体" w:cs="宋体"/>
                <w:b w:val="0"/>
                <w:bCs w:val="0"/>
                <w:color w:val="000000"/>
                <w:sz w:val="21"/>
                <w:szCs w:val="21"/>
              </w:rPr>
              <w:t>各类市场主体年报率持续保持</w:t>
            </w:r>
            <w:r>
              <w:rPr>
                <w:rFonts w:hint="eastAsia" w:ascii="宋体" w:hAnsi="宋体" w:eastAsia="宋体" w:cs="宋体"/>
                <w:b w:val="0"/>
                <w:bCs w:val="0"/>
                <w:color w:val="000000"/>
                <w:sz w:val="21"/>
                <w:szCs w:val="21"/>
                <w:lang w:eastAsia="zh-CN"/>
              </w:rPr>
              <w:t>在</w:t>
            </w:r>
            <w:r>
              <w:rPr>
                <w:rFonts w:hint="eastAsia" w:ascii="宋体" w:hAnsi="宋体" w:eastAsia="宋体" w:cs="宋体"/>
                <w:b w:val="0"/>
                <w:bCs w:val="0"/>
                <w:color w:val="000000"/>
                <w:sz w:val="21"/>
                <w:szCs w:val="21"/>
              </w:rPr>
              <w:t>全市较高水平</w:t>
            </w:r>
            <w:r>
              <w:rPr>
                <w:rFonts w:hint="eastAsia" w:ascii="宋体" w:hAnsi="宋体" w:eastAsia="宋体" w:cs="宋体"/>
                <w:b w:val="0"/>
                <w:bCs w:val="0"/>
                <w:color w:val="000000"/>
                <w:kern w:val="2"/>
                <w:sz w:val="21"/>
                <w:szCs w:val="21"/>
                <w:lang w:val="en-US" w:eastAsia="zh-CN" w:bidi="ar-SA"/>
              </w:rPr>
              <w:t>。</w:t>
            </w:r>
            <w:r>
              <w:rPr>
                <w:rFonts w:hint="eastAsia" w:ascii="宋体" w:hAnsi="宋体" w:eastAsia="宋体" w:cs="宋体"/>
                <w:b/>
                <w:bCs/>
                <w:color w:val="000000"/>
                <w:sz w:val="21"/>
                <w:szCs w:val="21"/>
                <w:lang w:val="en-US" w:eastAsia="zh-CN"/>
              </w:rPr>
              <w:t>做好信用监管及修复。</w:t>
            </w:r>
            <w:r>
              <w:rPr>
                <w:rFonts w:hint="eastAsia" w:ascii="宋体" w:hAnsi="宋体" w:eastAsia="宋体" w:cs="宋体"/>
                <w:b w:val="0"/>
                <w:bCs w:val="0"/>
                <w:i w:val="0"/>
                <w:iCs w:val="0"/>
                <w:caps w:val="0"/>
                <w:color w:val="000000"/>
                <w:spacing w:val="0"/>
                <w:sz w:val="21"/>
                <w:szCs w:val="21"/>
                <w:shd w:val="clear" w:color="auto" w:fill="FFFFFF"/>
                <w:lang w:eastAsia="zh-CN"/>
              </w:rPr>
              <w:t>对</w:t>
            </w:r>
            <w:r>
              <w:rPr>
                <w:rFonts w:hint="eastAsia" w:ascii="宋体" w:hAnsi="宋体" w:eastAsia="宋体" w:cs="宋体"/>
                <w:b w:val="0"/>
                <w:bCs w:val="0"/>
                <w:i w:val="0"/>
                <w:iCs w:val="0"/>
                <w:caps w:val="0"/>
                <w:color w:val="000000"/>
                <w:spacing w:val="0"/>
                <w:sz w:val="21"/>
                <w:szCs w:val="21"/>
                <w:shd w:val="clear" w:color="auto" w:fill="FFFFFF"/>
                <w:lang w:val="en-US" w:eastAsia="zh-CN"/>
              </w:rPr>
              <w:t>2021年度未年报的129</w:t>
            </w:r>
            <w:r>
              <w:rPr>
                <w:rFonts w:hint="eastAsia" w:ascii="宋体" w:hAnsi="宋体" w:eastAsia="宋体" w:cs="宋体"/>
                <w:b w:val="0"/>
                <w:bCs w:val="0"/>
                <w:i w:val="0"/>
                <w:iCs w:val="0"/>
                <w:caps w:val="0"/>
                <w:color w:val="000000"/>
                <w:spacing w:val="0"/>
                <w:sz w:val="21"/>
                <w:szCs w:val="21"/>
                <w:shd w:val="clear" w:color="auto" w:fill="FFFFFF"/>
              </w:rPr>
              <w:t>户</w:t>
            </w:r>
            <w:r>
              <w:rPr>
                <w:rFonts w:hint="eastAsia" w:ascii="宋体" w:hAnsi="宋体" w:eastAsia="宋体" w:cs="宋体"/>
                <w:b w:val="0"/>
                <w:bCs w:val="0"/>
                <w:i w:val="0"/>
                <w:iCs w:val="0"/>
                <w:caps w:val="0"/>
                <w:color w:val="000000"/>
                <w:spacing w:val="0"/>
                <w:sz w:val="21"/>
                <w:szCs w:val="21"/>
                <w:shd w:val="clear" w:color="auto" w:fill="FFFFFF"/>
                <w:lang w:eastAsia="zh-CN"/>
              </w:rPr>
              <w:t>企业、</w:t>
            </w:r>
            <w:r>
              <w:rPr>
                <w:rFonts w:hint="eastAsia" w:ascii="宋体" w:hAnsi="宋体" w:eastAsia="宋体" w:cs="宋体"/>
                <w:i w:val="0"/>
                <w:iCs w:val="0"/>
                <w:caps w:val="0"/>
                <w:color w:val="000000"/>
                <w:spacing w:val="0"/>
                <w:sz w:val="21"/>
                <w:szCs w:val="21"/>
                <w:shd w:val="clear" w:color="auto" w:fill="FFFFFF"/>
                <w:lang w:val="en-US" w:eastAsia="zh-CN"/>
              </w:rPr>
              <w:t>102户农民专业合作社</w:t>
            </w:r>
            <w:r>
              <w:rPr>
                <w:rFonts w:hint="eastAsia" w:ascii="宋体" w:hAnsi="宋体" w:eastAsia="宋体" w:cs="宋体"/>
                <w:i w:val="0"/>
                <w:iCs w:val="0"/>
                <w:caps w:val="0"/>
                <w:color w:val="000000"/>
                <w:spacing w:val="0"/>
                <w:sz w:val="21"/>
                <w:szCs w:val="21"/>
                <w:shd w:val="clear" w:color="auto" w:fill="FFFFFF"/>
              </w:rPr>
              <w:t>列入经营异常名录，</w:t>
            </w:r>
            <w:r>
              <w:rPr>
                <w:rFonts w:hint="eastAsia" w:ascii="宋体" w:hAnsi="宋体" w:eastAsia="宋体" w:cs="宋体"/>
                <w:color w:val="000000"/>
                <w:kern w:val="2"/>
                <w:sz w:val="21"/>
                <w:szCs w:val="21"/>
                <w:lang w:val="en-US" w:eastAsia="zh-CN" w:bidi="ar-SA"/>
              </w:rPr>
              <w:t>修复严重违法失信名单企业1户，修复移出32户。</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22" w:firstLineChars="200"/>
              <w:jc w:val="both"/>
              <w:textAlignment w:val="auto"/>
              <w:rPr>
                <w:rFonts w:hint="eastAsia" w:ascii="宋体" w:hAnsi="宋体" w:eastAsia="宋体" w:cs="宋体"/>
                <w:b w:val="0"/>
                <w:bCs w:val="0"/>
                <w:i w:val="0"/>
                <w:iCs w:val="0"/>
                <w:caps w:val="0"/>
                <w:color w:val="000000"/>
                <w:spacing w:val="0"/>
                <w:kern w:val="0"/>
                <w:sz w:val="21"/>
                <w:szCs w:val="21"/>
                <w:shd w:val="clear" w:color="auto" w:fill="FFFFFF"/>
                <w:lang w:val="en-US" w:eastAsia="zh-CN" w:bidi="ar"/>
              </w:rPr>
            </w:pPr>
            <w:r>
              <w:rPr>
                <w:rFonts w:hint="eastAsia" w:ascii="宋体" w:hAnsi="宋体" w:eastAsia="宋体" w:cs="宋体"/>
                <w:b/>
                <w:bCs/>
                <w:i w:val="0"/>
                <w:iCs w:val="0"/>
                <w:caps w:val="0"/>
                <w:color w:val="000000"/>
                <w:spacing w:val="0"/>
                <w:kern w:val="0"/>
                <w:sz w:val="21"/>
                <w:szCs w:val="21"/>
                <w:shd w:val="clear" w:color="auto" w:fill="FFFFFF"/>
                <w:lang w:val="en-US" w:eastAsia="zh-CN" w:bidi="ar"/>
              </w:rPr>
              <w:t>3.知识产权工作实现新提升。</w:t>
            </w:r>
            <w:r>
              <w:rPr>
                <w:rFonts w:hint="eastAsia" w:ascii="宋体" w:hAnsi="宋体" w:eastAsia="宋体" w:cs="宋体"/>
                <w:b w:val="0"/>
                <w:bCs w:val="0"/>
                <w:i w:val="0"/>
                <w:iCs w:val="0"/>
                <w:caps w:val="0"/>
                <w:color w:val="000000"/>
                <w:spacing w:val="0"/>
                <w:kern w:val="0"/>
                <w:sz w:val="21"/>
                <w:szCs w:val="21"/>
                <w:shd w:val="clear" w:color="auto" w:fill="FFFFFF"/>
                <w:lang w:val="en-US" w:eastAsia="zh-CN" w:bidi="ar"/>
              </w:rPr>
              <w:t>推进知识产权强区战略，知识产权创造、运用取得积极成效，实现量质齐升。全年新增商标200件，有效商标数1996件，同比增长17%；发明专利授权数11件，每万人有效发明专利拥有量2.381件，同比增长17%；成功注册地理标志证明商标1件，培育国家地标产品3件；重点培育君山渔、君山大米2件农产品申报国家地标产品，并且按照区政府打造区域农产品公用品牌要求，配合申报君品君山4个类别的集体商标，目前君品君山、君山渔、君山大米己进入资料准备和启动申报阶段；以许市脐橙等区域优质特色农产品为重点，积极推进君山地理标志产品的创造和运用，助推乡村振兴。</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left="630" w:leftChars="0"/>
              <w:textAlignment w:val="baseline"/>
              <w:rPr>
                <w:rFonts w:hint="eastAsia" w:ascii="宋体" w:hAnsi="宋体" w:eastAsia="宋体" w:cs="宋体"/>
                <w:b/>
                <w:bCs/>
                <w:color w:val="000000"/>
                <w:sz w:val="21"/>
                <w:szCs w:val="21"/>
              </w:rPr>
            </w:pPr>
            <w:r>
              <w:rPr>
                <w:rFonts w:hint="eastAsia" w:ascii="宋体" w:hAnsi="宋体" w:eastAsia="宋体" w:cs="宋体"/>
                <w:b/>
                <w:bCs/>
                <w:color w:val="000000"/>
                <w:sz w:val="21"/>
                <w:szCs w:val="21"/>
                <w:lang w:eastAsia="zh-CN"/>
              </w:rPr>
              <w:t>（二）</w:t>
            </w:r>
            <w:r>
              <w:rPr>
                <w:rFonts w:hint="eastAsia" w:ascii="宋体" w:hAnsi="宋体" w:eastAsia="宋体" w:cs="宋体"/>
                <w:b/>
                <w:bCs/>
                <w:color w:val="000000"/>
                <w:sz w:val="21"/>
                <w:szCs w:val="21"/>
              </w:rPr>
              <w:t>创新创举，攻坚克难，民生保障取得新成效</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22" w:firstLineChars="200"/>
              <w:textAlignment w:val="baseline"/>
              <w:rPr>
                <w:rFonts w:hint="eastAsia" w:ascii="宋体" w:hAnsi="宋体" w:eastAsia="宋体" w:cs="宋体"/>
                <w:b w:val="0"/>
                <w:bCs w:val="0"/>
                <w:color w:val="000000"/>
                <w:sz w:val="21"/>
                <w:szCs w:val="21"/>
              </w:rPr>
            </w:pPr>
            <w:r>
              <w:rPr>
                <w:rFonts w:hint="eastAsia" w:ascii="宋体" w:hAnsi="宋体" w:eastAsia="宋体" w:cs="宋体"/>
                <w:b/>
                <w:bCs/>
                <w:color w:val="000000"/>
                <w:sz w:val="21"/>
                <w:szCs w:val="21"/>
                <w:lang w:val="en-US" w:eastAsia="zh-CN"/>
              </w:rPr>
              <w:t>1.</w:t>
            </w:r>
            <w:r>
              <w:rPr>
                <w:rFonts w:hint="eastAsia" w:ascii="宋体" w:hAnsi="宋体" w:eastAsia="宋体" w:cs="宋体"/>
                <w:b/>
                <w:bCs/>
                <w:color w:val="000000"/>
                <w:sz w:val="21"/>
                <w:szCs w:val="21"/>
                <w:lang w:eastAsia="zh-CN"/>
              </w:rPr>
              <w:t>专项执法成效明显。推行包容审慎监管。</w:t>
            </w:r>
            <w:r>
              <w:rPr>
                <w:rFonts w:hint="eastAsia" w:ascii="宋体" w:hAnsi="宋体" w:eastAsia="宋体" w:cs="宋体"/>
                <w:b w:val="0"/>
                <w:bCs w:val="0"/>
                <w:color w:val="000000"/>
                <w:sz w:val="21"/>
                <w:szCs w:val="21"/>
                <w:lang w:eastAsia="zh-CN"/>
              </w:rPr>
              <w:t>对轻微违法行为“首查免罚”，采取限期整改、告诫提醒或约谈形式，做到法律和法理的融合，助其更好更快发展。</w:t>
            </w:r>
            <w:r>
              <w:rPr>
                <w:rFonts w:hint="eastAsia" w:ascii="宋体" w:hAnsi="宋体" w:eastAsia="宋体" w:cs="宋体"/>
                <w:b/>
                <w:bCs/>
                <w:color w:val="000000"/>
                <w:sz w:val="21"/>
                <w:szCs w:val="21"/>
                <w:lang w:eastAsia="zh-CN"/>
              </w:rPr>
              <w:t>落实严格执法。</w:t>
            </w:r>
            <w:r>
              <w:rPr>
                <w:rFonts w:hint="eastAsia" w:ascii="宋体" w:hAnsi="宋体" w:eastAsia="宋体" w:cs="宋体"/>
                <w:b w:val="0"/>
                <w:bCs w:val="0"/>
                <w:color w:val="000000"/>
                <w:sz w:val="21"/>
                <w:szCs w:val="21"/>
                <w:lang w:eastAsia="zh-CN"/>
              </w:rPr>
              <w:t>对于限期未整改、整改不到位或重大违法行为，采取行政执</w:t>
            </w:r>
            <w:r>
              <w:rPr>
                <w:rFonts w:hint="eastAsia" w:ascii="宋体" w:hAnsi="宋体" w:eastAsia="宋体" w:cs="宋体"/>
                <w:b w:val="0"/>
                <w:bCs w:val="0"/>
                <w:color w:val="000000"/>
                <w:sz w:val="21"/>
                <w:szCs w:val="21"/>
              </w:rPr>
              <w:t>法、行刑衔接、信用惩戒等措施，加大执法</w:t>
            </w:r>
            <w:r>
              <w:rPr>
                <w:rFonts w:hint="eastAsia" w:ascii="宋体" w:hAnsi="宋体" w:eastAsia="宋体" w:cs="宋体"/>
                <w:b w:val="0"/>
                <w:bCs w:val="0"/>
                <w:color w:val="000000"/>
                <w:sz w:val="21"/>
                <w:szCs w:val="21"/>
                <w:lang w:eastAsia="zh-CN"/>
              </w:rPr>
              <w:t>处罚</w:t>
            </w:r>
            <w:r>
              <w:rPr>
                <w:rFonts w:hint="eastAsia" w:ascii="宋体" w:hAnsi="宋体" w:eastAsia="宋体" w:cs="宋体"/>
                <w:b w:val="0"/>
                <w:bCs w:val="0"/>
                <w:color w:val="000000"/>
                <w:sz w:val="21"/>
                <w:szCs w:val="21"/>
              </w:rPr>
              <w:t>力度</w:t>
            </w:r>
            <w:r>
              <w:rPr>
                <w:rFonts w:hint="eastAsia" w:ascii="宋体" w:hAnsi="宋体" w:eastAsia="宋体" w:cs="宋体"/>
                <w:b w:val="0"/>
                <w:bCs w:val="0"/>
                <w:color w:val="000000"/>
                <w:sz w:val="21"/>
                <w:szCs w:val="21"/>
                <w:lang w:eastAsia="zh-CN"/>
              </w:rPr>
              <w:t>。全年</w:t>
            </w:r>
            <w:r>
              <w:rPr>
                <w:rFonts w:hint="eastAsia" w:ascii="宋体" w:hAnsi="宋体" w:eastAsia="宋体" w:cs="宋体"/>
                <w:b w:val="0"/>
                <w:bCs w:val="0"/>
                <w:color w:val="000000"/>
                <w:sz w:val="21"/>
                <w:szCs w:val="21"/>
              </w:rPr>
              <w:t>查办各类案件</w:t>
            </w:r>
            <w:r>
              <w:rPr>
                <w:rFonts w:hint="eastAsia" w:ascii="宋体" w:hAnsi="宋体" w:eastAsia="宋体" w:cs="宋体"/>
                <w:b w:val="0"/>
                <w:bCs w:val="0"/>
                <w:color w:val="000000"/>
                <w:sz w:val="21"/>
                <w:szCs w:val="21"/>
                <w:lang w:val="en-US" w:eastAsia="zh-CN"/>
              </w:rPr>
              <w:t>51</w:t>
            </w:r>
            <w:r>
              <w:rPr>
                <w:rFonts w:hint="eastAsia" w:ascii="宋体" w:hAnsi="宋体" w:eastAsia="宋体" w:cs="宋体"/>
                <w:b w:val="0"/>
                <w:bCs w:val="0"/>
                <w:color w:val="000000"/>
                <w:sz w:val="21"/>
                <w:szCs w:val="21"/>
              </w:rPr>
              <w:t>件，罚没</w:t>
            </w:r>
            <w:r>
              <w:rPr>
                <w:rFonts w:hint="eastAsia" w:ascii="宋体" w:hAnsi="宋体" w:eastAsia="宋体" w:cs="宋体"/>
                <w:b w:val="0"/>
                <w:bCs w:val="0"/>
                <w:color w:val="000000"/>
                <w:sz w:val="21"/>
                <w:szCs w:val="21"/>
                <w:lang w:eastAsia="zh-CN"/>
              </w:rPr>
              <w:t>款</w:t>
            </w:r>
            <w:r>
              <w:rPr>
                <w:rFonts w:hint="eastAsia" w:ascii="宋体" w:hAnsi="宋体" w:eastAsia="宋体" w:cs="宋体"/>
                <w:b w:val="0"/>
                <w:bCs w:val="0"/>
                <w:color w:val="000000"/>
                <w:sz w:val="21"/>
                <w:szCs w:val="21"/>
                <w:lang w:val="en-US" w:eastAsia="zh-CN"/>
              </w:rPr>
              <w:t>185万</w:t>
            </w:r>
            <w:r>
              <w:rPr>
                <w:rFonts w:hint="eastAsia" w:ascii="宋体" w:hAnsi="宋体" w:eastAsia="宋体" w:cs="宋体"/>
                <w:b w:val="0"/>
                <w:bCs w:val="0"/>
                <w:color w:val="000000"/>
                <w:sz w:val="21"/>
                <w:szCs w:val="21"/>
              </w:rPr>
              <w:t>元。</w:t>
            </w:r>
            <w:r>
              <w:rPr>
                <w:rFonts w:hint="eastAsia" w:ascii="宋体" w:hAnsi="宋体" w:eastAsia="宋体" w:cs="宋体"/>
                <w:b w:val="0"/>
                <w:bCs w:val="0"/>
                <w:color w:val="000000"/>
                <w:sz w:val="21"/>
                <w:szCs w:val="21"/>
                <w:lang w:eastAsia="zh-CN"/>
              </w:rPr>
              <w:t>积极组织开展“长江禁捕退捕”“交通问题顽瘴痼疾”专项整治行动，查办案件</w:t>
            </w:r>
            <w:r>
              <w:rPr>
                <w:rFonts w:hint="eastAsia" w:ascii="宋体" w:hAnsi="宋体" w:eastAsia="宋体" w:cs="宋体"/>
                <w:b w:val="0"/>
                <w:bCs w:val="0"/>
                <w:color w:val="000000"/>
                <w:sz w:val="21"/>
                <w:szCs w:val="21"/>
                <w:lang w:val="en-US" w:eastAsia="zh-CN"/>
              </w:rPr>
              <w:t>30起，罚没款10万余元。</w:t>
            </w:r>
            <w:r>
              <w:rPr>
                <w:rFonts w:hint="eastAsia" w:ascii="宋体" w:hAnsi="宋体" w:eastAsia="宋体" w:cs="宋体"/>
                <w:color w:val="000000"/>
                <w:sz w:val="21"/>
                <w:szCs w:val="21"/>
              </w:rPr>
              <w:t>扫黑除恶</w:t>
            </w:r>
            <w:r>
              <w:rPr>
                <w:rFonts w:hint="eastAsia" w:ascii="宋体" w:hAnsi="宋体" w:eastAsia="宋体" w:cs="宋体"/>
                <w:color w:val="000000"/>
                <w:sz w:val="21"/>
                <w:szCs w:val="21"/>
                <w:lang w:eastAsia="zh-CN"/>
              </w:rPr>
              <w:t>常态化。</w:t>
            </w:r>
            <w:r>
              <w:rPr>
                <w:rFonts w:hint="eastAsia" w:ascii="宋体" w:hAnsi="宋体" w:eastAsia="宋体" w:cs="宋体"/>
                <w:b w:val="0"/>
                <w:bCs w:val="0"/>
                <w:color w:val="000000"/>
                <w:sz w:val="21"/>
                <w:szCs w:val="21"/>
              </w:rPr>
              <w:t>合力整治</w:t>
            </w:r>
            <w:r>
              <w:rPr>
                <w:rFonts w:hint="eastAsia" w:ascii="宋体" w:hAnsi="宋体" w:eastAsia="宋体" w:cs="宋体"/>
                <w:b w:val="0"/>
                <w:bCs w:val="0"/>
                <w:color w:val="000000"/>
                <w:sz w:val="21"/>
                <w:szCs w:val="21"/>
                <w:lang w:eastAsia="zh-CN"/>
              </w:rPr>
              <w:t>市场</w:t>
            </w:r>
            <w:r>
              <w:rPr>
                <w:rFonts w:hint="eastAsia" w:ascii="宋体" w:hAnsi="宋体" w:eastAsia="宋体" w:cs="宋体"/>
                <w:b w:val="0"/>
                <w:bCs w:val="0"/>
                <w:color w:val="000000"/>
                <w:sz w:val="21"/>
                <w:szCs w:val="21"/>
              </w:rPr>
              <w:t>乱象</w:t>
            </w:r>
            <w:r>
              <w:rPr>
                <w:rFonts w:hint="eastAsia" w:ascii="宋体" w:hAnsi="宋体" w:eastAsia="宋体" w:cs="宋体"/>
                <w:b w:val="0"/>
                <w:bCs w:val="0"/>
                <w:color w:val="000000"/>
                <w:sz w:val="21"/>
                <w:szCs w:val="21"/>
                <w:lang w:eastAsia="zh-CN"/>
              </w:rPr>
              <w:t>，</w:t>
            </w:r>
            <w:r>
              <w:rPr>
                <w:rFonts w:hint="eastAsia" w:ascii="宋体" w:hAnsi="宋体" w:eastAsia="宋体" w:cs="宋体"/>
                <w:b w:val="0"/>
                <w:bCs w:val="0"/>
                <w:color w:val="000000"/>
                <w:sz w:val="21"/>
                <w:szCs w:val="21"/>
              </w:rPr>
              <w:t>查办假冒侵权案件</w:t>
            </w:r>
            <w:r>
              <w:rPr>
                <w:rFonts w:hint="eastAsia" w:ascii="宋体" w:hAnsi="宋体" w:eastAsia="宋体" w:cs="宋体"/>
                <w:b w:val="0"/>
                <w:bCs w:val="0"/>
                <w:color w:val="000000"/>
                <w:sz w:val="21"/>
                <w:szCs w:val="21"/>
                <w:lang w:val="en-US" w:eastAsia="zh-CN"/>
              </w:rPr>
              <w:t>5件</w:t>
            </w:r>
            <w:r>
              <w:rPr>
                <w:rFonts w:hint="eastAsia" w:ascii="宋体" w:hAnsi="宋体" w:eastAsia="宋体" w:cs="宋体"/>
                <w:b w:val="0"/>
                <w:bCs w:val="0"/>
                <w:color w:val="000000"/>
                <w:sz w:val="21"/>
                <w:szCs w:val="21"/>
              </w:rPr>
              <w:t>，查处违法广告案件</w:t>
            </w:r>
            <w:r>
              <w:rPr>
                <w:rFonts w:hint="eastAsia" w:ascii="宋体" w:hAnsi="宋体" w:eastAsia="宋体" w:cs="宋体"/>
                <w:b w:val="0"/>
                <w:bCs w:val="0"/>
                <w:color w:val="000000"/>
                <w:sz w:val="21"/>
                <w:szCs w:val="21"/>
                <w:lang w:val="en-US" w:eastAsia="zh-CN"/>
              </w:rPr>
              <w:t>4件</w:t>
            </w:r>
            <w:r>
              <w:rPr>
                <w:rFonts w:hint="eastAsia" w:ascii="宋体" w:hAnsi="宋体" w:eastAsia="宋体" w:cs="宋体"/>
                <w:b w:val="0"/>
                <w:bCs w:val="0"/>
                <w:color w:val="000000"/>
                <w:sz w:val="21"/>
                <w:szCs w:val="21"/>
                <w:lang w:eastAsia="zh-CN"/>
              </w:rPr>
              <w:t>，</w:t>
            </w:r>
            <w:r>
              <w:rPr>
                <w:rFonts w:hint="eastAsia" w:ascii="宋体" w:hAnsi="宋体" w:eastAsia="宋体" w:cs="宋体"/>
                <w:b w:val="0"/>
                <w:bCs w:val="0"/>
                <w:color w:val="000000"/>
                <w:sz w:val="21"/>
                <w:szCs w:val="21"/>
              </w:rPr>
              <w:t>行政约谈电商平台</w:t>
            </w:r>
            <w:r>
              <w:rPr>
                <w:rFonts w:hint="eastAsia" w:ascii="宋体" w:hAnsi="宋体" w:eastAsia="宋体" w:cs="宋体"/>
                <w:b w:val="0"/>
                <w:bCs w:val="0"/>
                <w:color w:val="000000"/>
                <w:sz w:val="21"/>
                <w:szCs w:val="21"/>
                <w:lang w:val="en-US" w:eastAsia="zh-CN"/>
              </w:rPr>
              <w:t>8</w:t>
            </w:r>
            <w:r>
              <w:rPr>
                <w:rFonts w:hint="eastAsia" w:ascii="宋体" w:hAnsi="宋体" w:eastAsia="宋体" w:cs="宋体"/>
                <w:b w:val="0"/>
                <w:bCs w:val="0"/>
                <w:color w:val="000000"/>
                <w:sz w:val="21"/>
                <w:szCs w:val="21"/>
              </w:rPr>
              <w:t>个次</w:t>
            </w:r>
            <w:r>
              <w:rPr>
                <w:rFonts w:hint="eastAsia" w:ascii="宋体" w:hAnsi="宋体" w:eastAsia="宋体" w:cs="宋体"/>
                <w:b w:val="0"/>
                <w:bCs w:val="0"/>
                <w:color w:val="000000"/>
                <w:sz w:val="21"/>
                <w:szCs w:val="21"/>
                <w:lang w:eastAsia="zh-CN"/>
              </w:rPr>
              <w:t>，</w:t>
            </w:r>
            <w:r>
              <w:rPr>
                <w:rFonts w:hint="eastAsia" w:ascii="宋体" w:hAnsi="宋体" w:eastAsia="宋体" w:cs="宋体"/>
                <w:b w:val="0"/>
                <w:bCs w:val="0"/>
                <w:color w:val="000000"/>
                <w:sz w:val="21"/>
                <w:szCs w:val="21"/>
              </w:rPr>
              <w:t>保持</w:t>
            </w:r>
            <w:r>
              <w:rPr>
                <w:rFonts w:hint="eastAsia" w:ascii="宋体" w:hAnsi="宋体" w:eastAsia="宋体" w:cs="宋体"/>
                <w:b w:val="0"/>
                <w:bCs w:val="0"/>
                <w:color w:val="000000"/>
                <w:sz w:val="21"/>
                <w:szCs w:val="21"/>
                <w:lang w:eastAsia="zh-CN"/>
              </w:rPr>
              <w:t>了</w:t>
            </w:r>
            <w:r>
              <w:rPr>
                <w:rFonts w:hint="eastAsia" w:ascii="宋体" w:hAnsi="宋体" w:eastAsia="宋体" w:cs="宋体"/>
                <w:b w:val="0"/>
                <w:bCs w:val="0"/>
                <w:color w:val="000000"/>
                <w:sz w:val="21"/>
                <w:szCs w:val="21"/>
              </w:rPr>
              <w:t>稳定向好的市场安全态势。</w:t>
            </w:r>
          </w:p>
          <w:p>
            <w:pPr>
              <w:pStyle w:val="14"/>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400" w:lineRule="exact"/>
              <w:ind w:left="0" w:leftChars="0" w:right="0" w:rightChars="0" w:firstLine="422" w:firstLineChars="200"/>
              <w:jc w:val="both"/>
              <w:textAlignment w:val="auto"/>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bCs/>
                <w:color w:val="000000"/>
                <w:sz w:val="21"/>
                <w:szCs w:val="21"/>
                <w:lang w:val="en-US" w:eastAsia="zh-CN"/>
              </w:rPr>
              <w:t>2.</w:t>
            </w:r>
            <w:r>
              <w:rPr>
                <w:rFonts w:hint="eastAsia" w:ascii="宋体" w:hAnsi="宋体" w:eastAsia="宋体" w:cs="宋体"/>
                <w:b/>
                <w:bCs/>
                <w:color w:val="000000"/>
                <w:sz w:val="21"/>
                <w:szCs w:val="21"/>
                <w:lang w:eastAsia="zh-CN"/>
              </w:rPr>
              <w:t>加强重点领域监管。</w:t>
            </w:r>
            <w:r>
              <w:rPr>
                <w:rFonts w:hint="eastAsia" w:ascii="宋体" w:hAnsi="宋体" w:eastAsia="宋体" w:cs="宋体"/>
                <w:b w:val="0"/>
                <w:bCs w:val="0"/>
                <w:color w:val="000000"/>
                <w:sz w:val="21"/>
                <w:szCs w:val="21"/>
              </w:rPr>
              <w:t>坚持人民至上、生命至上</w:t>
            </w:r>
            <w:r>
              <w:rPr>
                <w:rFonts w:hint="eastAsia" w:ascii="宋体" w:hAnsi="宋体" w:eastAsia="宋体" w:cs="宋体"/>
                <w:b w:val="0"/>
                <w:bCs w:val="0"/>
                <w:color w:val="000000"/>
                <w:sz w:val="21"/>
                <w:szCs w:val="21"/>
                <w:lang w:eastAsia="zh-CN"/>
              </w:rPr>
              <w:t>。妥处央视</w:t>
            </w:r>
            <w:r>
              <w:rPr>
                <w:rFonts w:hint="eastAsia" w:ascii="宋体" w:hAnsi="宋体" w:eastAsia="宋体" w:cs="宋体"/>
                <w:b w:val="0"/>
                <w:bCs w:val="0"/>
                <w:color w:val="000000"/>
                <w:sz w:val="21"/>
                <w:szCs w:val="21"/>
              </w:rPr>
              <w:t>3·15</w:t>
            </w:r>
            <w:r>
              <w:rPr>
                <w:rFonts w:hint="eastAsia" w:ascii="宋体" w:hAnsi="宋体" w:eastAsia="宋体" w:cs="宋体"/>
                <w:b w:val="0"/>
                <w:bCs w:val="0"/>
                <w:color w:val="000000"/>
                <w:sz w:val="21"/>
                <w:szCs w:val="21"/>
                <w:lang w:eastAsia="zh-CN"/>
              </w:rPr>
              <w:t>腌制食品加工问题事件，严肃</w:t>
            </w:r>
            <w:r>
              <w:rPr>
                <w:rFonts w:hint="eastAsia" w:ascii="宋体" w:hAnsi="宋体" w:eastAsia="宋体" w:cs="宋体"/>
                <w:b w:val="0"/>
                <w:bCs w:val="0"/>
                <w:color w:val="000000"/>
                <w:sz w:val="21"/>
                <w:szCs w:val="21"/>
              </w:rPr>
              <w:t>查处违法违规行为</w:t>
            </w:r>
            <w:r>
              <w:rPr>
                <w:rFonts w:hint="eastAsia" w:ascii="宋体" w:hAnsi="宋体" w:eastAsia="宋体" w:cs="宋体"/>
                <w:b w:val="0"/>
                <w:bCs w:val="0"/>
                <w:color w:val="000000"/>
                <w:sz w:val="21"/>
                <w:szCs w:val="21"/>
                <w:lang w:eastAsia="zh-CN"/>
              </w:rPr>
              <w:t>，主动回应社会关切；举一反三，</w:t>
            </w:r>
            <w:r>
              <w:rPr>
                <w:rFonts w:hint="eastAsia" w:ascii="宋体" w:hAnsi="宋体" w:eastAsia="宋体" w:cs="宋体"/>
                <w:b w:val="0"/>
                <w:bCs w:val="0"/>
                <w:color w:val="000000"/>
                <w:sz w:val="21"/>
                <w:szCs w:val="21"/>
              </w:rPr>
              <w:t>对食品生产</w:t>
            </w:r>
            <w:r>
              <w:rPr>
                <w:rFonts w:hint="eastAsia" w:ascii="宋体" w:hAnsi="宋体" w:eastAsia="宋体" w:cs="宋体"/>
                <w:b w:val="0"/>
                <w:bCs w:val="0"/>
                <w:color w:val="000000"/>
                <w:sz w:val="21"/>
                <w:szCs w:val="21"/>
                <w:lang w:eastAsia="zh-CN"/>
              </w:rPr>
              <w:t>企业</w:t>
            </w:r>
            <w:r>
              <w:rPr>
                <w:rFonts w:hint="eastAsia" w:ascii="宋体" w:hAnsi="宋体" w:eastAsia="宋体" w:cs="宋体"/>
                <w:b w:val="0"/>
                <w:bCs w:val="0"/>
                <w:color w:val="000000"/>
                <w:sz w:val="21"/>
                <w:szCs w:val="21"/>
              </w:rPr>
              <w:t>、餐饮</w:t>
            </w:r>
            <w:r>
              <w:rPr>
                <w:rFonts w:hint="eastAsia" w:ascii="宋体" w:hAnsi="宋体" w:eastAsia="宋体" w:cs="宋体"/>
                <w:b w:val="0"/>
                <w:bCs w:val="0"/>
                <w:color w:val="000000"/>
                <w:sz w:val="21"/>
                <w:szCs w:val="21"/>
                <w:lang w:eastAsia="zh-CN"/>
              </w:rPr>
              <w:t>及特种设备使用单位开展全覆盖执法检查</w:t>
            </w:r>
            <w:r>
              <w:rPr>
                <w:rFonts w:hint="eastAsia" w:ascii="宋体" w:hAnsi="宋体" w:eastAsia="宋体" w:cs="宋体"/>
                <w:b w:val="0"/>
                <w:bCs w:val="0"/>
                <w:color w:val="000000"/>
                <w:sz w:val="21"/>
                <w:szCs w:val="21"/>
              </w:rPr>
              <w:t>，及时发现并督促整改有关</w:t>
            </w:r>
            <w:r>
              <w:rPr>
                <w:rFonts w:hint="eastAsia" w:ascii="宋体" w:hAnsi="宋体" w:eastAsia="宋体" w:cs="宋体"/>
                <w:b w:val="0"/>
                <w:bCs w:val="0"/>
                <w:color w:val="000000"/>
                <w:sz w:val="21"/>
                <w:szCs w:val="21"/>
                <w:lang w:eastAsia="zh-CN"/>
              </w:rPr>
              <w:t>安全隐患</w:t>
            </w:r>
            <w:r>
              <w:rPr>
                <w:rFonts w:hint="eastAsia" w:ascii="宋体" w:hAnsi="宋体" w:eastAsia="宋体" w:cs="宋体"/>
                <w:b w:val="0"/>
                <w:bCs w:val="0"/>
                <w:color w:val="000000"/>
                <w:sz w:val="21"/>
                <w:szCs w:val="21"/>
              </w:rPr>
              <w:t>。</w:t>
            </w:r>
            <w:r>
              <w:rPr>
                <w:rFonts w:hint="eastAsia" w:ascii="宋体" w:hAnsi="宋体" w:eastAsia="宋体" w:cs="宋体"/>
                <w:b/>
                <w:bCs/>
                <w:color w:val="000000"/>
                <w:sz w:val="21"/>
                <w:szCs w:val="21"/>
              </w:rPr>
              <w:t>答好食品安全“</w:t>
            </w:r>
            <w:r>
              <w:rPr>
                <w:rFonts w:hint="eastAsia" w:ascii="宋体" w:hAnsi="宋体" w:eastAsia="宋体" w:cs="宋体"/>
                <w:b/>
                <w:bCs/>
                <w:color w:val="000000"/>
                <w:sz w:val="21"/>
                <w:szCs w:val="21"/>
                <w:lang w:eastAsia="zh-CN"/>
              </w:rPr>
              <w:t>赶考</w:t>
            </w:r>
            <w:r>
              <w:rPr>
                <w:rFonts w:hint="eastAsia" w:ascii="宋体" w:hAnsi="宋体" w:eastAsia="宋体" w:cs="宋体"/>
                <w:b/>
                <w:bCs/>
                <w:color w:val="000000"/>
                <w:sz w:val="21"/>
                <w:szCs w:val="21"/>
              </w:rPr>
              <w:t>卷”。</w:t>
            </w:r>
            <w:r>
              <w:rPr>
                <w:rFonts w:hint="eastAsia" w:ascii="宋体" w:hAnsi="宋体" w:eastAsia="宋体" w:cs="宋体"/>
                <w:b w:val="0"/>
                <w:bCs w:val="0"/>
                <w:color w:val="000000"/>
                <w:sz w:val="21"/>
                <w:szCs w:val="21"/>
                <w:lang w:eastAsia="zh-CN"/>
              </w:rPr>
              <w:t>遵循食品安全“四个最严”要求，积极</w:t>
            </w:r>
            <w:r>
              <w:rPr>
                <w:rFonts w:hint="eastAsia" w:ascii="宋体" w:hAnsi="宋体" w:eastAsia="宋体" w:cs="宋体"/>
                <w:b w:val="0"/>
                <w:bCs w:val="0"/>
                <w:color w:val="000000"/>
                <w:sz w:val="21"/>
                <w:szCs w:val="21"/>
                <w:lang w:val="en-US" w:eastAsia="zh-CN"/>
              </w:rPr>
              <w:t>开展</w:t>
            </w:r>
            <w:r>
              <w:rPr>
                <w:rFonts w:hint="eastAsia" w:ascii="宋体" w:hAnsi="宋体" w:eastAsia="宋体" w:cs="宋体"/>
                <w:b w:val="0"/>
                <w:bCs w:val="0"/>
                <w:color w:val="000000"/>
                <w:sz w:val="21"/>
                <w:szCs w:val="21"/>
              </w:rPr>
              <w:t>食品安全</w:t>
            </w:r>
            <w:r>
              <w:rPr>
                <w:rFonts w:hint="eastAsia" w:ascii="宋体" w:hAnsi="宋体" w:eastAsia="宋体" w:cs="宋体"/>
                <w:b w:val="0"/>
                <w:bCs w:val="0"/>
                <w:color w:val="000000"/>
                <w:sz w:val="21"/>
                <w:szCs w:val="21"/>
                <w:lang w:val="en-US" w:eastAsia="zh-CN"/>
              </w:rPr>
              <w:t>“守底线、查隐患、保安全”专项行动；</w:t>
            </w:r>
            <w:r>
              <w:rPr>
                <w:rFonts w:hint="eastAsia" w:ascii="宋体" w:hAnsi="宋体" w:eastAsia="宋体" w:cs="宋体"/>
                <w:b w:val="0"/>
                <w:bCs w:val="0"/>
                <w:color w:val="000000"/>
                <w:sz w:val="21"/>
                <w:szCs w:val="21"/>
                <w:lang w:eastAsia="zh-CN"/>
              </w:rPr>
              <w:t>部署开展</w:t>
            </w:r>
            <w:r>
              <w:rPr>
                <w:rFonts w:hint="eastAsia" w:ascii="宋体" w:hAnsi="宋体" w:eastAsia="宋体" w:cs="宋体"/>
                <w:color w:val="000000"/>
                <w:sz w:val="21"/>
                <w:szCs w:val="21"/>
                <w:lang w:val="en-US" w:eastAsia="zh-CN"/>
              </w:rPr>
              <w:t>大米生产企业全覆盖执法检查，督促企</w:t>
            </w:r>
            <w:r>
              <w:rPr>
                <w:rFonts w:hint="eastAsia" w:ascii="宋体" w:hAnsi="宋体" w:eastAsia="宋体" w:cs="宋体"/>
                <w:b w:val="0"/>
                <w:bCs w:val="0"/>
                <w:color w:val="000000"/>
                <w:sz w:val="21"/>
                <w:szCs w:val="21"/>
                <w:lang w:val="en-US" w:eastAsia="zh-CN"/>
              </w:rPr>
              <w:t>业严格生产经营过程管控，落实原粮采购和大米出厂批批检验，完善采购、加工、贮存、检验、销售等各项记录台帐，确保企业持续保持良好生产条件和能力；联合教育、卫健、民政等部门对学校、敬老院食堂开展了四次全覆盖食品安全检查；</w:t>
            </w:r>
            <w:r>
              <w:rPr>
                <w:rFonts w:hint="eastAsia" w:ascii="宋体" w:hAnsi="宋体" w:eastAsia="宋体" w:cs="宋体"/>
                <w:b w:val="0"/>
                <w:bCs w:val="0"/>
                <w:color w:val="000000"/>
                <w:sz w:val="21"/>
                <w:szCs w:val="21"/>
                <w:u w:val="none"/>
                <w:lang w:eastAsia="zh-CN"/>
              </w:rPr>
              <w:t>做好中高考、</w:t>
            </w:r>
            <w:r>
              <w:rPr>
                <w:rFonts w:hint="eastAsia" w:ascii="宋体" w:hAnsi="宋体" w:eastAsia="宋体" w:cs="宋体"/>
                <w:b w:val="0"/>
                <w:bCs w:val="0"/>
                <w:color w:val="000000"/>
                <w:kern w:val="2"/>
                <w:sz w:val="21"/>
                <w:szCs w:val="21"/>
                <w:lang w:val="en-US" w:eastAsia="zh-CN" w:bidi="ar-SA"/>
              </w:rPr>
              <w:t>厨王争霸赛、马拉松等重点时段食品安全保障；</w:t>
            </w:r>
            <w:r>
              <w:rPr>
                <w:rFonts w:hint="eastAsia" w:ascii="宋体" w:hAnsi="宋体" w:eastAsia="宋体" w:cs="宋体"/>
                <w:b w:val="0"/>
                <w:bCs w:val="0"/>
                <w:color w:val="000000"/>
                <w:sz w:val="21"/>
                <w:szCs w:val="21"/>
                <w:lang w:eastAsia="zh-CN"/>
              </w:rPr>
              <w:t>加强</w:t>
            </w:r>
            <w:r>
              <w:rPr>
                <w:rFonts w:hint="eastAsia" w:ascii="宋体" w:hAnsi="宋体" w:eastAsia="宋体" w:cs="宋体"/>
                <w:b w:val="0"/>
                <w:bCs w:val="0"/>
                <w:color w:val="000000"/>
                <w:sz w:val="21"/>
                <w:szCs w:val="21"/>
              </w:rPr>
              <w:t>冷链</w:t>
            </w:r>
            <w:r>
              <w:rPr>
                <w:rFonts w:hint="eastAsia" w:ascii="宋体" w:hAnsi="宋体" w:eastAsia="宋体" w:cs="宋体"/>
                <w:b w:val="0"/>
                <w:bCs w:val="0"/>
                <w:color w:val="000000"/>
                <w:sz w:val="21"/>
                <w:szCs w:val="21"/>
                <w:lang w:eastAsia="zh-CN"/>
              </w:rPr>
              <w:t>、进口食品等重点环节监管；</w:t>
            </w:r>
            <w:r>
              <w:rPr>
                <w:rFonts w:hint="eastAsia" w:ascii="宋体" w:hAnsi="宋体" w:eastAsia="宋体" w:cs="宋体"/>
                <w:b w:val="0"/>
                <w:bCs w:val="0"/>
                <w:color w:val="000000"/>
                <w:sz w:val="21"/>
                <w:szCs w:val="21"/>
              </w:rPr>
              <w:t>强化技术支撑</w:t>
            </w:r>
            <w:r>
              <w:rPr>
                <w:rFonts w:hint="eastAsia" w:ascii="宋体" w:hAnsi="宋体" w:eastAsia="宋体" w:cs="宋体"/>
                <w:b w:val="0"/>
                <w:bCs w:val="0"/>
                <w:color w:val="000000"/>
                <w:sz w:val="21"/>
                <w:szCs w:val="21"/>
                <w:lang w:eastAsia="zh-CN"/>
              </w:rPr>
              <w:t>，</w:t>
            </w:r>
            <w:r>
              <w:rPr>
                <w:rFonts w:hint="eastAsia" w:ascii="宋体" w:hAnsi="宋体" w:eastAsia="宋体" w:cs="宋体"/>
                <w:b w:val="0"/>
                <w:bCs w:val="0"/>
                <w:color w:val="000000"/>
                <w:sz w:val="21"/>
                <w:szCs w:val="21"/>
              </w:rPr>
              <w:t>扩大“明厨亮灶”实施范围，</w:t>
            </w:r>
            <w:r>
              <w:rPr>
                <w:rFonts w:hint="eastAsia" w:ascii="宋体" w:hAnsi="宋体" w:eastAsia="宋体" w:cs="宋体"/>
                <w:b w:val="0"/>
                <w:bCs w:val="0"/>
                <w:color w:val="000000"/>
                <w:sz w:val="21"/>
                <w:szCs w:val="21"/>
                <w:lang w:eastAsia="zh-CN"/>
              </w:rPr>
              <w:t>实现中小学校食堂、大中型餐饮单位全覆盖；突出</w:t>
            </w:r>
            <w:r>
              <w:rPr>
                <w:rFonts w:hint="eastAsia" w:ascii="宋体" w:hAnsi="宋体" w:eastAsia="宋体" w:cs="宋体"/>
                <w:b w:val="0"/>
                <w:bCs w:val="0"/>
                <w:color w:val="000000"/>
                <w:sz w:val="21"/>
                <w:szCs w:val="21"/>
              </w:rPr>
              <w:t>六门闸风干鱼</w:t>
            </w:r>
            <w:r>
              <w:rPr>
                <w:rFonts w:hint="eastAsia" w:ascii="宋体" w:hAnsi="宋体" w:eastAsia="宋体" w:cs="宋体"/>
                <w:b w:val="0"/>
                <w:bCs w:val="0"/>
                <w:color w:val="000000"/>
                <w:sz w:val="21"/>
                <w:szCs w:val="21"/>
                <w:lang w:eastAsia="zh-CN"/>
              </w:rPr>
              <w:t>等特色食品监管；积极开展文明餐饮店、文明食堂、文明食品经营店和</w:t>
            </w:r>
            <w:r>
              <w:rPr>
                <w:rFonts w:hint="eastAsia" w:ascii="宋体" w:hAnsi="宋体" w:eastAsia="宋体" w:cs="宋体"/>
                <w:b w:val="0"/>
                <w:bCs w:val="0"/>
                <w:color w:val="000000"/>
                <w:sz w:val="21"/>
                <w:szCs w:val="21"/>
              </w:rPr>
              <w:t>特殊食品专区专柜经营示范街区</w:t>
            </w:r>
            <w:r>
              <w:rPr>
                <w:rFonts w:hint="eastAsia" w:ascii="宋体" w:hAnsi="宋体" w:eastAsia="宋体" w:cs="宋体"/>
                <w:b w:val="0"/>
                <w:bCs w:val="0"/>
                <w:color w:val="000000"/>
                <w:sz w:val="21"/>
                <w:szCs w:val="21"/>
                <w:lang w:eastAsia="zh-CN"/>
              </w:rPr>
              <w:t>创建，丽芮酒店、钱粮湖百花大酒店获评公勺公筷先进单位，君临嘉奕酒店和明月大酒店获评文明餐饮单位，钱粮湖实验小学获评文明食堂，食品安全形势持续好转；</w:t>
            </w:r>
            <w:r>
              <w:rPr>
                <w:rFonts w:hint="eastAsia" w:ascii="宋体" w:hAnsi="宋体" w:eastAsia="宋体" w:cs="宋体"/>
                <w:b w:val="0"/>
                <w:bCs w:val="0"/>
                <w:color w:val="000000"/>
                <w:sz w:val="21"/>
                <w:szCs w:val="21"/>
              </w:rPr>
              <w:t>常态化开展食品安全“你点我检”“你送我检”等活动</w:t>
            </w:r>
            <w:r>
              <w:rPr>
                <w:rFonts w:hint="eastAsia" w:ascii="宋体" w:hAnsi="宋体" w:eastAsia="宋体" w:cs="宋体"/>
                <w:b w:val="0"/>
                <w:bCs w:val="0"/>
                <w:color w:val="000000"/>
                <w:sz w:val="21"/>
                <w:szCs w:val="21"/>
                <w:lang w:eastAsia="zh-CN"/>
              </w:rPr>
              <w:t>，以</w:t>
            </w:r>
            <w:r>
              <w:rPr>
                <w:rFonts w:hint="eastAsia" w:ascii="宋体" w:hAnsi="宋体" w:eastAsia="宋体" w:cs="宋体"/>
                <w:b w:val="0"/>
                <w:bCs w:val="0"/>
                <w:color w:val="000000"/>
                <w:kern w:val="2"/>
                <w:sz w:val="21"/>
                <w:szCs w:val="21"/>
                <w:lang w:val="en-US" w:eastAsia="zh-CN" w:bidi="ar-SA"/>
              </w:rPr>
              <w:t>酱腌菜、大米和龙虾等为重点开展第三方监督抽检，全年共完成抽检1000批次，其中食品600批次、食用农产品400批次；积极推进食品安全“两个责任”机制落实，牵头起草了君山区</w:t>
            </w:r>
            <w:r>
              <w:rPr>
                <w:rFonts w:hint="eastAsia" w:ascii="宋体" w:hAnsi="宋体" w:eastAsia="宋体" w:cs="宋体"/>
                <w:b w:val="0"/>
                <w:bCs w:val="0"/>
                <w:color w:val="000000"/>
                <w:spacing w:val="5"/>
                <w:sz w:val="21"/>
                <w:szCs w:val="21"/>
                <w:lang w:val="en-US" w:eastAsia="zh-CN"/>
              </w:rPr>
              <w:t>《关于进一步加强食品安全责任落实的工作方案》，明确了党政领导干部、食安委成员单位和地方政府食品安全工作责任清单，组织</w:t>
            </w:r>
            <w:r>
              <w:rPr>
                <w:rFonts w:hint="eastAsia" w:ascii="宋体" w:hAnsi="宋体" w:eastAsia="宋体" w:cs="宋体"/>
                <w:b w:val="0"/>
                <w:bCs w:val="0"/>
                <w:color w:val="000000"/>
                <w:sz w:val="21"/>
                <w:szCs w:val="21"/>
                <w:lang w:eastAsia="zh-CN"/>
              </w:rPr>
              <w:t>制定了君山区《</w:t>
            </w:r>
            <w:r>
              <w:rPr>
                <w:rFonts w:hint="eastAsia" w:ascii="宋体" w:hAnsi="宋体" w:eastAsia="宋体" w:cs="宋体"/>
                <w:b w:val="0"/>
                <w:bCs w:val="0"/>
                <w:color w:val="000000"/>
                <w:sz w:val="21"/>
                <w:szCs w:val="21"/>
                <w:lang w:val="en-US" w:eastAsia="zh-CN"/>
              </w:rPr>
              <w:t>贯彻</w:t>
            </w:r>
            <w:r>
              <w:rPr>
                <w:rFonts w:hint="eastAsia" w:ascii="宋体" w:hAnsi="宋体" w:eastAsia="宋体" w:cs="宋体"/>
                <w:b w:val="0"/>
                <w:bCs w:val="0"/>
                <w:color w:val="000000"/>
                <w:sz w:val="21"/>
                <w:szCs w:val="21"/>
                <w:lang w:eastAsia="zh-CN"/>
              </w:rPr>
              <w:t>落实食品安全“两个责任”机制实施方案》，落实了</w:t>
            </w:r>
            <w:r>
              <w:rPr>
                <w:rFonts w:hint="eastAsia" w:ascii="宋体" w:hAnsi="宋体" w:eastAsia="宋体" w:cs="宋体"/>
                <w:b w:val="0"/>
                <w:bCs w:val="0"/>
                <w:color w:val="000000"/>
                <w:sz w:val="21"/>
                <w:szCs w:val="21"/>
                <w:lang w:val="en-US" w:eastAsia="zh-CN"/>
              </w:rPr>
              <w:t>市、县、乡、村四级包保主体台账的等级排查工作任务，完成</w:t>
            </w:r>
            <w:r>
              <w:rPr>
                <w:rFonts w:hint="eastAsia" w:ascii="宋体" w:hAnsi="宋体" w:eastAsia="宋体" w:cs="宋体"/>
                <w:b w:val="0"/>
                <w:bCs w:val="0"/>
                <w:color w:val="000000"/>
                <w:kern w:val="2"/>
                <w:sz w:val="21"/>
                <w:szCs w:val="21"/>
                <w:lang w:val="en-US" w:eastAsia="zh-CN" w:bidi="ar-SA"/>
              </w:rPr>
              <w:t>B、C两级主体包保干部承诺书签订、业务培训和一次督导工作。</w:t>
            </w:r>
            <w:r>
              <w:rPr>
                <w:rFonts w:hint="eastAsia" w:ascii="宋体" w:hAnsi="宋体" w:eastAsia="宋体" w:cs="宋体"/>
                <w:b/>
                <w:bCs/>
                <w:color w:val="000000"/>
                <w:sz w:val="21"/>
                <w:szCs w:val="21"/>
              </w:rPr>
              <w:t>织密药品安全“防护网”</w:t>
            </w:r>
            <w:r>
              <w:rPr>
                <w:rFonts w:hint="eastAsia" w:ascii="宋体" w:hAnsi="宋体" w:eastAsia="宋体" w:cs="宋体"/>
                <w:color w:val="000000"/>
                <w:sz w:val="21"/>
                <w:szCs w:val="21"/>
              </w:rPr>
              <w:t>。</w:t>
            </w:r>
            <w:r>
              <w:rPr>
                <w:rFonts w:hint="eastAsia" w:ascii="宋体" w:hAnsi="宋体" w:eastAsia="宋体" w:cs="宋体"/>
                <w:b w:val="0"/>
                <w:bCs w:val="0"/>
                <w:color w:val="000000"/>
                <w:sz w:val="21"/>
                <w:szCs w:val="21"/>
                <w:lang w:val="en-US" w:eastAsia="zh-CN"/>
              </w:rPr>
              <w:t>围绕高风险环节、高风险品种、高风险区域，以</w:t>
            </w:r>
            <w:r>
              <w:rPr>
                <w:rFonts w:hint="eastAsia" w:ascii="宋体" w:hAnsi="宋体" w:eastAsia="宋体" w:cs="宋体"/>
                <w:b w:val="0"/>
                <w:bCs w:val="0"/>
                <w:i w:val="0"/>
                <w:iCs w:val="0"/>
                <w:caps w:val="0"/>
                <w:color w:val="000000"/>
                <w:spacing w:val="24"/>
                <w:sz w:val="21"/>
                <w:szCs w:val="21"/>
                <w:shd w:val="clear" w:color="auto" w:fill="FFFFFF"/>
                <w:lang w:eastAsia="zh-CN"/>
              </w:rPr>
              <w:t>区</w:t>
            </w:r>
            <w:r>
              <w:rPr>
                <w:rFonts w:hint="eastAsia" w:ascii="宋体" w:hAnsi="宋体" w:eastAsia="宋体" w:cs="宋体"/>
                <w:b w:val="0"/>
                <w:bCs w:val="0"/>
                <w:i w:val="0"/>
                <w:iCs w:val="0"/>
                <w:caps w:val="0"/>
                <w:color w:val="000000"/>
                <w:spacing w:val="24"/>
                <w:sz w:val="21"/>
                <w:szCs w:val="21"/>
                <w:shd w:val="clear" w:color="auto" w:fill="FFFFFF"/>
              </w:rPr>
              <w:t>直医疗机构、药店、</w:t>
            </w:r>
            <w:r>
              <w:rPr>
                <w:rFonts w:hint="eastAsia" w:ascii="宋体" w:hAnsi="宋体" w:eastAsia="宋体" w:cs="宋体"/>
                <w:b w:val="0"/>
                <w:bCs w:val="0"/>
                <w:i w:val="0"/>
                <w:iCs w:val="0"/>
                <w:caps w:val="0"/>
                <w:color w:val="000000"/>
                <w:spacing w:val="24"/>
                <w:sz w:val="21"/>
                <w:szCs w:val="21"/>
                <w:shd w:val="clear" w:color="auto" w:fill="FFFFFF"/>
                <w:lang w:eastAsia="zh-CN"/>
              </w:rPr>
              <w:t>村卫生室、个体</w:t>
            </w:r>
            <w:r>
              <w:rPr>
                <w:rFonts w:hint="eastAsia" w:ascii="宋体" w:hAnsi="宋体" w:eastAsia="宋体" w:cs="宋体"/>
                <w:b w:val="0"/>
                <w:bCs w:val="0"/>
                <w:i w:val="0"/>
                <w:iCs w:val="0"/>
                <w:caps w:val="0"/>
                <w:color w:val="000000"/>
                <w:spacing w:val="24"/>
                <w:sz w:val="21"/>
                <w:szCs w:val="21"/>
                <w:shd w:val="clear" w:color="auto" w:fill="FFFFFF"/>
              </w:rPr>
              <w:t>诊所</w:t>
            </w:r>
            <w:r>
              <w:rPr>
                <w:rFonts w:hint="eastAsia" w:ascii="宋体" w:hAnsi="宋体" w:eastAsia="宋体" w:cs="宋体"/>
                <w:b w:val="0"/>
                <w:bCs w:val="0"/>
                <w:i w:val="0"/>
                <w:iCs w:val="0"/>
                <w:caps w:val="0"/>
                <w:color w:val="000000"/>
                <w:spacing w:val="24"/>
                <w:sz w:val="21"/>
                <w:szCs w:val="21"/>
                <w:shd w:val="clear" w:color="auto" w:fill="FFFFFF"/>
                <w:lang w:eastAsia="zh-CN"/>
              </w:rPr>
              <w:t>为重点，</w:t>
            </w:r>
            <w:r>
              <w:rPr>
                <w:rFonts w:hint="eastAsia" w:ascii="宋体" w:hAnsi="宋体" w:eastAsia="宋体" w:cs="宋体"/>
                <w:b w:val="0"/>
                <w:bCs w:val="0"/>
                <w:color w:val="000000"/>
                <w:sz w:val="21"/>
                <w:szCs w:val="21"/>
                <w:lang w:val="en-US" w:eastAsia="zh-CN"/>
              </w:rPr>
              <w:t>开展第二类精神药品、中药饮片、疫苗使用管理专项整治行动；组织召开零售药店常态化疫情防控工作推进暨业务培训会，指导规范从业人员科学精准落实疫情防控各项措施；做好疫苗评估和药械宣传工作；开展防疫药品质量和价格检查，</w:t>
            </w:r>
            <w:r>
              <w:rPr>
                <w:rFonts w:hint="eastAsia" w:ascii="宋体" w:hAnsi="宋体" w:eastAsia="宋体" w:cs="宋体"/>
                <w:b w:val="0"/>
                <w:bCs w:val="0"/>
                <w:i w:val="0"/>
                <w:iCs w:val="0"/>
                <w:caps w:val="0"/>
                <w:color w:val="000000"/>
                <w:spacing w:val="0"/>
                <w:sz w:val="21"/>
                <w:szCs w:val="21"/>
                <w:shd w:val="clear" w:color="auto" w:fill="FFFFFF"/>
                <w:lang w:val="en-US" w:eastAsia="zh-CN"/>
              </w:rPr>
              <w:t>严把药品及防疫用品“质量关”“价格关”；加强</w:t>
            </w:r>
            <w:r>
              <w:rPr>
                <w:rFonts w:hint="eastAsia" w:ascii="宋体" w:hAnsi="宋体" w:eastAsia="宋体" w:cs="宋体"/>
                <w:b w:val="0"/>
                <w:bCs w:val="0"/>
                <w:color w:val="000000"/>
                <w:sz w:val="21"/>
                <w:szCs w:val="21"/>
              </w:rPr>
              <w:t>不合格品种处置和药械化不良反应</w:t>
            </w:r>
            <w:r>
              <w:rPr>
                <w:rFonts w:hint="eastAsia" w:ascii="宋体" w:hAnsi="宋体" w:eastAsia="宋体" w:cs="宋体"/>
                <w:b w:val="0"/>
                <w:bCs w:val="0"/>
                <w:color w:val="000000"/>
                <w:sz w:val="21"/>
                <w:szCs w:val="21"/>
                <w:lang w:val="en-US" w:eastAsia="zh-CN"/>
              </w:rPr>
              <w:t>(事件)及药物滥用监测，上报药品不良反应220例（其中严重46例)，器械不良事件75例、化妆品不良反应23例，均超额完成了市局下达的目标任务。</w:t>
            </w:r>
            <w:r>
              <w:rPr>
                <w:rFonts w:hint="eastAsia" w:ascii="宋体" w:hAnsi="宋体" w:eastAsia="宋体" w:cs="宋体"/>
                <w:b/>
                <w:bCs/>
                <w:color w:val="000000"/>
                <w:sz w:val="21"/>
                <w:szCs w:val="21"/>
              </w:rPr>
              <w:t>拧紧特种设备“安全阀”。</w:t>
            </w:r>
            <w:r>
              <w:rPr>
                <w:rFonts w:hint="eastAsia" w:ascii="宋体" w:hAnsi="宋体" w:eastAsia="宋体" w:cs="宋体"/>
                <w:b w:val="0"/>
                <w:bCs w:val="0"/>
                <w:color w:val="000000"/>
                <w:kern w:val="0"/>
                <w:sz w:val="21"/>
                <w:szCs w:val="21"/>
                <w:lang w:val="en-US" w:eastAsia="zh-CN"/>
              </w:rPr>
              <w:t>在全市率先推广自有产权气瓶，建立气瓶信息追溯体系，并将气瓶置换率推广到90%、体系建成率达到100%。目前已置换自有产权气瓶80000多瓶，建成气瓶信息追溯系统2个，并已连接市局智慧监管系统，从源头上保障居民用气安全；</w:t>
            </w:r>
            <w:r>
              <w:rPr>
                <w:rFonts w:hint="eastAsia" w:ascii="宋体" w:hAnsi="宋体" w:eastAsia="宋体" w:cs="宋体"/>
                <w:b w:val="0"/>
                <w:bCs w:val="0"/>
                <w:color w:val="000000"/>
                <w:sz w:val="21"/>
                <w:szCs w:val="21"/>
              </w:rPr>
              <w:t>以游乐设施、锅炉和压力管道、液化石油气瓶为重点</w:t>
            </w:r>
            <w:r>
              <w:rPr>
                <w:rFonts w:hint="eastAsia" w:ascii="宋体" w:hAnsi="宋体" w:eastAsia="宋体" w:cs="宋体"/>
                <w:b w:val="0"/>
                <w:bCs w:val="0"/>
                <w:color w:val="000000"/>
                <w:sz w:val="21"/>
                <w:szCs w:val="21"/>
                <w:lang w:eastAsia="zh-CN"/>
              </w:rPr>
              <w:t>，</w:t>
            </w:r>
            <w:r>
              <w:rPr>
                <w:rFonts w:hint="eastAsia" w:ascii="宋体" w:hAnsi="宋体" w:eastAsia="宋体" w:cs="宋体"/>
                <w:b w:val="0"/>
                <w:bCs w:val="0"/>
                <w:color w:val="000000"/>
                <w:kern w:val="0"/>
                <w:sz w:val="21"/>
                <w:szCs w:val="21"/>
                <w:lang w:val="en-US" w:eastAsia="zh-CN"/>
              </w:rPr>
              <w:t>开展特种设备超期未检和“年关守护”专项行动，共检查使用单位304家，下达监察指令30份，停用超期未检特种设备22台，立案2起，罚没款5万余元；组织基层监管人员参加特种设备监察员B证考试，新增持证人员9人，进一步提高了基层监管人员专业水平；积极服务特种设备企业，帮助企业提高设备管理效率，特种设备定检率保持在100%，事故发生率连续3年为零，保障了人民生命财产安全。</w:t>
            </w:r>
            <w:r>
              <w:rPr>
                <w:rFonts w:hint="eastAsia" w:ascii="宋体" w:hAnsi="宋体" w:eastAsia="宋体" w:cs="宋体"/>
                <w:b/>
                <w:bCs/>
                <w:color w:val="000000"/>
                <w:sz w:val="21"/>
                <w:szCs w:val="21"/>
              </w:rPr>
              <w:t>守住产品质量安全“责任田”。</w:t>
            </w:r>
            <w:r>
              <w:rPr>
                <w:rFonts w:hint="eastAsia" w:ascii="宋体" w:hAnsi="宋体" w:eastAsia="宋体" w:cs="宋体"/>
                <w:b w:val="0"/>
                <w:bCs w:val="0"/>
                <w:color w:val="000000"/>
                <w:kern w:val="2"/>
                <w:sz w:val="21"/>
                <w:szCs w:val="21"/>
                <w:lang w:val="en-US" w:eastAsia="zh-CN" w:bidi="ar-SA"/>
              </w:rPr>
              <w:t>开展重点工业产品、儿童和学生用品、消防产品质量安全专项整治行动，全力消除安全隐患；加强对6家食品相关产品生产许可证获证企业的监管，督促其持续保持生产能力，确保质量安全；落实第三方监督抽检，全年共抽查成品油、食品相关产品、建材等3大类共100批次，确保了产品质量安全。</w:t>
            </w:r>
          </w:p>
          <w:p>
            <w:pPr>
              <w:pStyle w:val="14"/>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400" w:lineRule="exact"/>
              <w:ind w:left="0" w:leftChars="0" w:right="0" w:rightChars="0" w:firstLine="422" w:firstLineChars="200"/>
              <w:jc w:val="both"/>
              <w:textAlignment w:val="auto"/>
              <w:rPr>
                <w:rFonts w:hint="eastAsia" w:ascii="宋体" w:hAnsi="宋体" w:eastAsia="宋体" w:cs="宋体"/>
                <w:b w:val="0"/>
                <w:bCs w:val="0"/>
                <w:color w:val="000000"/>
                <w:sz w:val="21"/>
                <w:szCs w:val="21"/>
                <w:lang w:val="en-US" w:eastAsia="zh-CN"/>
              </w:rPr>
            </w:pPr>
            <w:r>
              <w:rPr>
                <w:rFonts w:hint="eastAsia" w:ascii="宋体" w:hAnsi="宋体" w:eastAsia="宋体" w:cs="宋体"/>
                <w:b/>
                <w:bCs/>
                <w:color w:val="000000"/>
                <w:sz w:val="21"/>
                <w:szCs w:val="21"/>
                <w:lang w:val="en-US" w:eastAsia="zh-CN"/>
              </w:rPr>
              <w:t>3.</w:t>
            </w:r>
            <w:r>
              <w:rPr>
                <w:rFonts w:hint="eastAsia" w:ascii="宋体" w:hAnsi="宋体" w:eastAsia="宋体" w:cs="宋体"/>
                <w:b/>
                <w:bCs/>
                <w:color w:val="000000"/>
                <w:sz w:val="21"/>
                <w:szCs w:val="21"/>
              </w:rPr>
              <w:t>强化消费者权益保护。</w:t>
            </w:r>
            <w:r>
              <w:rPr>
                <w:rFonts w:hint="eastAsia" w:ascii="宋体" w:hAnsi="宋体" w:eastAsia="宋体" w:cs="宋体"/>
                <w:b w:val="0"/>
                <w:bCs w:val="0"/>
                <w:color w:val="000000"/>
                <w:sz w:val="21"/>
                <w:szCs w:val="21"/>
              </w:rPr>
              <w:t>围绕“共促消费公平”年主题</w:t>
            </w:r>
            <w:r>
              <w:rPr>
                <w:rFonts w:hint="eastAsia" w:ascii="宋体" w:hAnsi="宋体" w:eastAsia="宋体" w:cs="宋体"/>
                <w:b w:val="0"/>
                <w:bCs w:val="0"/>
                <w:color w:val="000000"/>
                <w:sz w:val="21"/>
                <w:szCs w:val="21"/>
                <w:lang w:eastAsia="zh-CN"/>
              </w:rPr>
              <w:t>，组织开展</w:t>
            </w:r>
            <w:r>
              <w:rPr>
                <w:rFonts w:hint="eastAsia" w:ascii="宋体" w:hAnsi="宋体" w:eastAsia="宋体" w:cs="宋体"/>
                <w:b w:val="0"/>
                <w:bCs w:val="0"/>
                <w:color w:val="000000"/>
                <w:sz w:val="21"/>
                <w:szCs w:val="21"/>
                <w:lang w:val="en-US" w:eastAsia="zh-CN"/>
              </w:rPr>
              <w:t>3.15消费维权咨询等系列宣传活动，通过现场发放宣传册、悬挂横幅、现场咨询等方式营造科学、理性和放心消费环境；畅通投诉举报，消费维权再加力。全年</w:t>
            </w:r>
            <w:r>
              <w:rPr>
                <w:rFonts w:hint="eastAsia" w:ascii="宋体" w:hAnsi="宋体" w:eastAsia="宋体" w:cs="宋体"/>
                <w:b w:val="0"/>
                <w:bCs w:val="0"/>
                <w:color w:val="000000"/>
                <w:sz w:val="21"/>
                <w:szCs w:val="21"/>
                <w:lang w:eastAsia="zh-CN"/>
              </w:rPr>
              <w:t>通过</w:t>
            </w:r>
            <w:r>
              <w:rPr>
                <w:rFonts w:hint="eastAsia" w:ascii="宋体" w:hAnsi="宋体" w:eastAsia="宋体" w:cs="宋体"/>
                <w:b w:val="0"/>
                <w:bCs w:val="0"/>
                <w:color w:val="000000"/>
                <w:kern w:val="2"/>
                <w:sz w:val="21"/>
                <w:szCs w:val="21"/>
                <w:lang w:val="en-US" w:eastAsia="zh-CN" w:bidi="ar-SA"/>
              </w:rPr>
              <w:t>12345、12315接听咨询、投诉、举报946件，已全部办结，投诉举报办结率达100%。</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630" w:leftChars="0"/>
              <w:rPr>
                <w:rFonts w:hint="eastAsia" w:ascii="宋体" w:hAnsi="宋体" w:eastAsia="宋体" w:cs="宋体"/>
                <w:b/>
                <w:bCs/>
                <w:color w:val="000000"/>
                <w:sz w:val="21"/>
                <w:szCs w:val="21"/>
              </w:rPr>
            </w:pPr>
            <w:r>
              <w:rPr>
                <w:rFonts w:hint="eastAsia" w:ascii="宋体" w:hAnsi="宋体" w:eastAsia="宋体" w:cs="宋体"/>
                <w:b/>
                <w:bCs/>
                <w:color w:val="000000"/>
                <w:sz w:val="21"/>
                <w:szCs w:val="21"/>
                <w:lang w:eastAsia="zh-CN"/>
              </w:rPr>
              <w:t>（三）</w:t>
            </w:r>
            <w:r>
              <w:rPr>
                <w:rFonts w:hint="eastAsia" w:ascii="宋体" w:hAnsi="宋体" w:eastAsia="宋体" w:cs="宋体"/>
                <w:b/>
                <w:bCs/>
                <w:color w:val="000000"/>
                <w:sz w:val="21"/>
                <w:szCs w:val="21"/>
              </w:rPr>
              <w:t>坚持导向，积极作为，</w:t>
            </w:r>
            <w:r>
              <w:rPr>
                <w:rFonts w:hint="eastAsia" w:ascii="宋体" w:hAnsi="宋体" w:eastAsia="宋体" w:cs="宋体"/>
                <w:b/>
                <w:bCs/>
                <w:color w:val="000000"/>
                <w:sz w:val="21"/>
                <w:szCs w:val="21"/>
                <w:lang w:eastAsia="zh-CN"/>
              </w:rPr>
              <w:t>市场秩序</w:t>
            </w:r>
            <w:r>
              <w:rPr>
                <w:rFonts w:hint="eastAsia" w:ascii="宋体" w:hAnsi="宋体" w:eastAsia="宋体" w:cs="宋体"/>
                <w:b/>
                <w:bCs/>
                <w:color w:val="000000"/>
                <w:sz w:val="21"/>
                <w:szCs w:val="21"/>
              </w:rPr>
              <w:t>获得新改善</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rPr>
                <w:rFonts w:hint="eastAsia" w:ascii="宋体" w:hAnsi="宋体" w:eastAsia="宋体" w:cs="宋体"/>
                <w:b w:val="0"/>
                <w:bCs/>
                <w:color w:val="000000"/>
                <w:sz w:val="21"/>
                <w:szCs w:val="21"/>
              </w:rPr>
            </w:pPr>
            <w:r>
              <w:rPr>
                <w:rFonts w:hint="eastAsia" w:ascii="宋体" w:hAnsi="宋体" w:eastAsia="宋体" w:cs="宋体"/>
                <w:b w:val="0"/>
                <w:bCs/>
                <w:color w:val="000000"/>
                <w:sz w:val="21"/>
                <w:szCs w:val="21"/>
                <w:lang w:eastAsia="zh-CN"/>
              </w:rPr>
              <w:t>积极</w:t>
            </w:r>
            <w:r>
              <w:rPr>
                <w:rFonts w:hint="eastAsia" w:ascii="宋体" w:hAnsi="宋体" w:eastAsia="宋体" w:cs="宋体"/>
                <w:b w:val="0"/>
                <w:bCs/>
                <w:color w:val="000000"/>
                <w:sz w:val="21"/>
                <w:szCs w:val="21"/>
              </w:rPr>
              <w:t>践行市场监管为民宗旨</w:t>
            </w:r>
            <w:r>
              <w:rPr>
                <w:rFonts w:hint="eastAsia" w:ascii="宋体" w:hAnsi="宋体" w:eastAsia="宋体" w:cs="宋体"/>
                <w:b w:val="0"/>
                <w:bCs/>
                <w:color w:val="000000"/>
                <w:sz w:val="21"/>
                <w:szCs w:val="21"/>
                <w:lang w:eastAsia="zh-CN"/>
              </w:rPr>
              <w:t>，</w:t>
            </w:r>
            <w:r>
              <w:rPr>
                <w:rFonts w:hint="eastAsia" w:ascii="宋体" w:hAnsi="宋体" w:eastAsia="宋体" w:cs="宋体"/>
                <w:b w:val="0"/>
                <w:bCs/>
                <w:color w:val="000000"/>
                <w:sz w:val="21"/>
                <w:szCs w:val="21"/>
              </w:rPr>
              <w:t>聚焦民生领域</w:t>
            </w:r>
            <w:r>
              <w:rPr>
                <w:rFonts w:hint="eastAsia" w:ascii="宋体" w:hAnsi="宋体" w:eastAsia="宋体" w:cs="宋体"/>
                <w:b w:val="0"/>
                <w:bCs/>
                <w:color w:val="000000"/>
                <w:sz w:val="21"/>
                <w:szCs w:val="21"/>
                <w:lang w:eastAsia="zh-CN"/>
              </w:rPr>
              <w:t>价格</w:t>
            </w:r>
            <w:r>
              <w:rPr>
                <w:rFonts w:hint="eastAsia" w:ascii="宋体" w:hAnsi="宋体" w:eastAsia="宋体" w:cs="宋体"/>
                <w:b w:val="0"/>
                <w:bCs/>
                <w:color w:val="000000"/>
                <w:sz w:val="21"/>
                <w:szCs w:val="21"/>
              </w:rPr>
              <w:t>监管，管住管好“菜篮子”“米袋子”，规范稳定医疗、旅游、教育、</w:t>
            </w:r>
            <w:r>
              <w:rPr>
                <w:rFonts w:hint="eastAsia" w:ascii="宋体" w:hAnsi="宋体" w:eastAsia="宋体" w:cs="宋体"/>
                <w:b w:val="0"/>
                <w:bCs/>
                <w:color w:val="000000"/>
                <w:sz w:val="21"/>
                <w:szCs w:val="21"/>
                <w:lang w:eastAsia="zh-CN"/>
              </w:rPr>
              <w:t>转供电</w:t>
            </w:r>
            <w:r>
              <w:rPr>
                <w:rFonts w:hint="eastAsia" w:ascii="宋体" w:hAnsi="宋体" w:eastAsia="宋体" w:cs="宋体"/>
                <w:b w:val="0"/>
                <w:bCs/>
                <w:color w:val="000000"/>
                <w:sz w:val="21"/>
                <w:szCs w:val="21"/>
              </w:rPr>
              <w:t>等行业价格</w:t>
            </w:r>
            <w:r>
              <w:rPr>
                <w:rFonts w:hint="eastAsia" w:ascii="宋体" w:hAnsi="宋体" w:eastAsia="宋体" w:cs="宋体"/>
                <w:b w:val="0"/>
                <w:bCs/>
                <w:color w:val="000000"/>
                <w:sz w:val="21"/>
                <w:szCs w:val="21"/>
                <w:lang w:eastAsia="zh-CN"/>
              </w:rPr>
              <w:t>违法</w:t>
            </w:r>
            <w:r>
              <w:rPr>
                <w:rFonts w:hint="eastAsia" w:ascii="宋体" w:hAnsi="宋体" w:eastAsia="宋体" w:cs="宋体"/>
                <w:b w:val="0"/>
                <w:bCs/>
                <w:color w:val="000000"/>
                <w:sz w:val="21"/>
                <w:szCs w:val="21"/>
              </w:rPr>
              <w:t>行为</w:t>
            </w:r>
            <w:r>
              <w:rPr>
                <w:rFonts w:hint="eastAsia" w:ascii="宋体" w:hAnsi="宋体" w:eastAsia="宋体" w:cs="宋体"/>
                <w:b w:val="0"/>
                <w:bCs/>
                <w:color w:val="000000"/>
                <w:sz w:val="21"/>
                <w:szCs w:val="21"/>
                <w:lang w:eastAsia="zh-CN"/>
              </w:rPr>
              <w:t>，</w:t>
            </w:r>
            <w:r>
              <w:rPr>
                <w:rFonts w:hint="eastAsia" w:ascii="宋体" w:hAnsi="宋体" w:eastAsia="宋体" w:cs="宋体"/>
                <w:b w:val="0"/>
                <w:bCs/>
                <w:color w:val="000000"/>
                <w:sz w:val="21"/>
                <w:szCs w:val="21"/>
              </w:rPr>
              <w:t>展现了“市场监管为人民”的责任和担当。</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2" w:firstLineChars="200"/>
              <w:rPr>
                <w:rFonts w:hint="eastAsia" w:ascii="宋体" w:hAnsi="宋体" w:eastAsia="宋体" w:cs="宋体"/>
                <w:b w:val="0"/>
                <w:bCs/>
                <w:color w:val="000000"/>
                <w:kern w:val="0"/>
                <w:sz w:val="21"/>
                <w:szCs w:val="21"/>
                <w:u w:val="single"/>
                <w:lang w:val="en-US" w:eastAsia="zh-CN"/>
              </w:rPr>
            </w:pPr>
            <w:r>
              <w:rPr>
                <w:rStyle w:val="10"/>
                <w:rFonts w:hint="eastAsia" w:ascii="宋体" w:hAnsi="宋体" w:eastAsia="宋体" w:cs="宋体"/>
                <w:color w:val="000000"/>
                <w:sz w:val="21"/>
                <w:szCs w:val="21"/>
                <w:lang w:val="en-US" w:eastAsia="zh-CN"/>
              </w:rPr>
              <w:t>1.</w:t>
            </w:r>
            <w:r>
              <w:rPr>
                <w:rStyle w:val="10"/>
                <w:rFonts w:hint="eastAsia" w:ascii="宋体" w:hAnsi="宋体" w:eastAsia="宋体" w:cs="宋体"/>
                <w:color w:val="000000"/>
                <w:sz w:val="21"/>
                <w:szCs w:val="21"/>
              </w:rPr>
              <w:t>严厉查处网络广告违法。</w:t>
            </w:r>
            <w:r>
              <w:rPr>
                <w:rFonts w:hint="eastAsia" w:ascii="宋体" w:hAnsi="宋体" w:eastAsia="宋体" w:cs="宋体"/>
                <w:color w:val="000000"/>
                <w:sz w:val="21"/>
                <w:szCs w:val="21"/>
                <w:lang w:eastAsia="zh-CN"/>
              </w:rPr>
              <w:t>严查“二十大”期间广告违法行为，加大</w:t>
            </w:r>
            <w:r>
              <w:rPr>
                <w:rFonts w:hint="eastAsia" w:ascii="宋体" w:hAnsi="宋体" w:eastAsia="宋体" w:cs="宋体"/>
                <w:color w:val="000000"/>
                <w:sz w:val="21"/>
                <w:szCs w:val="21"/>
              </w:rPr>
              <w:t>对电视媒体广告发布重点内容监测</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rPr>
              <w:t>共开展网上巡查430个次，督促网络市场经营主体及时年报38个，实地检查网站39个次，处理网络消费投诉42起，责令改正8起，行政约谈、行政指导企业21户。</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2" w:firstLineChars="200"/>
              <w:rPr>
                <w:rFonts w:hint="eastAsia" w:ascii="宋体" w:hAnsi="宋体" w:eastAsia="宋体" w:cs="宋体"/>
                <w:color w:val="000000"/>
                <w:sz w:val="21"/>
                <w:szCs w:val="21"/>
              </w:rPr>
            </w:pPr>
            <w:r>
              <w:rPr>
                <w:rFonts w:hint="eastAsia" w:ascii="宋体" w:hAnsi="宋体" w:eastAsia="宋体" w:cs="宋体"/>
                <w:b/>
                <w:color w:val="000000"/>
                <w:sz w:val="21"/>
                <w:szCs w:val="21"/>
                <w:lang w:val="en-US" w:eastAsia="zh-CN"/>
              </w:rPr>
              <w:t>2.</w:t>
            </w:r>
            <w:r>
              <w:rPr>
                <w:rFonts w:hint="eastAsia" w:ascii="宋体" w:hAnsi="宋体" w:eastAsia="宋体" w:cs="宋体"/>
                <w:b/>
                <w:color w:val="000000"/>
                <w:sz w:val="21"/>
                <w:szCs w:val="21"/>
              </w:rPr>
              <w:t>积极开展农资、成品油市场专项整治。</w:t>
            </w:r>
            <w:r>
              <w:rPr>
                <w:rFonts w:hint="eastAsia" w:ascii="宋体" w:hAnsi="宋体" w:eastAsia="宋体" w:cs="宋体"/>
                <w:color w:val="000000"/>
                <w:sz w:val="21"/>
                <w:szCs w:val="21"/>
              </w:rPr>
              <w:t>以农资商品质量监督抽检为重点</w:t>
            </w:r>
            <w:r>
              <w:rPr>
                <w:rFonts w:hint="eastAsia" w:ascii="宋体" w:hAnsi="宋体" w:eastAsia="宋体" w:cs="宋体"/>
                <w:color w:val="000000"/>
                <w:sz w:val="21"/>
                <w:szCs w:val="21"/>
                <w:lang w:eastAsia="zh-CN"/>
              </w:rPr>
              <w:t>，配合市局开展</w:t>
            </w:r>
            <w:r>
              <w:rPr>
                <w:rFonts w:hint="eastAsia" w:ascii="宋体" w:hAnsi="宋体" w:eastAsia="宋体" w:cs="宋体"/>
                <w:color w:val="000000"/>
                <w:sz w:val="21"/>
                <w:szCs w:val="21"/>
              </w:rPr>
              <w:t>农资经营户</w:t>
            </w:r>
            <w:r>
              <w:rPr>
                <w:rFonts w:hint="eastAsia" w:ascii="宋体" w:hAnsi="宋体" w:eastAsia="宋体" w:cs="宋体"/>
                <w:color w:val="000000"/>
                <w:sz w:val="21"/>
                <w:szCs w:val="21"/>
                <w:lang w:eastAsia="zh-CN"/>
              </w:rPr>
              <w:t>质量</w:t>
            </w:r>
            <w:r>
              <w:rPr>
                <w:rFonts w:hint="eastAsia" w:ascii="宋体" w:hAnsi="宋体" w:eastAsia="宋体" w:cs="宋体"/>
                <w:color w:val="000000"/>
                <w:sz w:val="21"/>
                <w:szCs w:val="21"/>
              </w:rPr>
              <w:t>抽检</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rPr>
              <w:t>共抽检农资商品12个，其中磷肥3个，复合肥料9个</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rPr>
              <w:t>立案两</w:t>
            </w:r>
            <w:r>
              <w:rPr>
                <w:rFonts w:hint="eastAsia" w:ascii="宋体" w:hAnsi="宋体" w:eastAsia="宋体" w:cs="宋体"/>
                <w:color w:val="000000"/>
                <w:sz w:val="21"/>
                <w:szCs w:val="21"/>
                <w:lang w:eastAsia="zh-CN"/>
              </w:rPr>
              <w:t>件，</w:t>
            </w:r>
            <w:r>
              <w:rPr>
                <w:rFonts w:hint="eastAsia" w:ascii="宋体" w:hAnsi="宋体" w:eastAsia="宋体" w:cs="宋体"/>
                <w:color w:val="000000"/>
                <w:sz w:val="21"/>
                <w:szCs w:val="21"/>
              </w:rPr>
              <w:t>罚没款1.56万元。</w:t>
            </w:r>
            <w:r>
              <w:rPr>
                <w:rFonts w:hint="eastAsia" w:ascii="宋体" w:hAnsi="宋体" w:eastAsia="宋体" w:cs="宋体"/>
                <w:color w:val="000000"/>
                <w:sz w:val="21"/>
                <w:szCs w:val="21"/>
                <w:lang w:eastAsia="zh-CN"/>
              </w:rPr>
              <w:t>开</w:t>
            </w:r>
            <w:r>
              <w:rPr>
                <w:rFonts w:hint="eastAsia" w:ascii="宋体" w:hAnsi="宋体" w:eastAsia="宋体" w:cs="宋体"/>
                <w:color w:val="000000"/>
                <w:sz w:val="21"/>
                <w:szCs w:val="21"/>
              </w:rPr>
              <w:t>展成品油市场专项行动，查处无照经营柴油案3</w:t>
            </w:r>
            <w:r>
              <w:rPr>
                <w:rFonts w:hint="eastAsia" w:ascii="宋体" w:hAnsi="宋体" w:eastAsia="宋体" w:cs="宋体"/>
                <w:color w:val="000000"/>
                <w:sz w:val="21"/>
                <w:szCs w:val="21"/>
                <w:lang w:eastAsia="zh-CN"/>
              </w:rPr>
              <w:t>件</w:t>
            </w:r>
            <w:r>
              <w:rPr>
                <w:rFonts w:hint="eastAsia" w:ascii="宋体" w:hAnsi="宋体" w:eastAsia="宋体" w:cs="宋体"/>
                <w:color w:val="000000"/>
                <w:sz w:val="21"/>
                <w:szCs w:val="21"/>
              </w:rPr>
              <w:t>，罚没款1.79万元。</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2" w:firstLineChars="200"/>
              <w:rPr>
                <w:rFonts w:hint="eastAsia" w:ascii="宋体" w:hAnsi="宋体" w:eastAsia="宋体" w:cs="宋体"/>
                <w:color w:val="000000"/>
                <w:kern w:val="0"/>
                <w:sz w:val="21"/>
                <w:szCs w:val="21"/>
                <w:lang w:eastAsia="zh-CN"/>
              </w:rPr>
            </w:pPr>
            <w:r>
              <w:rPr>
                <w:rFonts w:hint="eastAsia" w:ascii="宋体" w:hAnsi="宋体" w:eastAsia="宋体" w:cs="宋体"/>
                <w:b/>
                <w:bCs/>
                <w:color w:val="000000"/>
                <w:sz w:val="21"/>
                <w:szCs w:val="21"/>
                <w:lang w:val="en-US" w:eastAsia="zh-CN"/>
              </w:rPr>
              <w:t>3.</w:t>
            </w:r>
            <w:r>
              <w:rPr>
                <w:rFonts w:hint="eastAsia" w:ascii="宋体" w:hAnsi="宋体" w:eastAsia="宋体" w:cs="宋体"/>
                <w:b/>
                <w:bCs/>
                <w:color w:val="000000"/>
                <w:kern w:val="0"/>
                <w:sz w:val="21"/>
                <w:szCs w:val="21"/>
              </w:rPr>
              <w:t>开展重点时段</w:t>
            </w:r>
            <w:r>
              <w:rPr>
                <w:rFonts w:hint="eastAsia" w:ascii="宋体" w:hAnsi="宋体" w:eastAsia="宋体" w:cs="宋体"/>
                <w:b/>
                <w:bCs/>
                <w:color w:val="000000"/>
                <w:kern w:val="0"/>
                <w:sz w:val="21"/>
                <w:szCs w:val="21"/>
                <w:lang w:eastAsia="zh-CN"/>
              </w:rPr>
              <w:t>重点</w:t>
            </w:r>
            <w:r>
              <w:rPr>
                <w:rFonts w:hint="eastAsia" w:ascii="宋体" w:hAnsi="宋体" w:eastAsia="宋体" w:cs="宋体"/>
                <w:b/>
                <w:bCs/>
                <w:color w:val="000000"/>
                <w:kern w:val="0"/>
                <w:sz w:val="21"/>
                <w:szCs w:val="21"/>
              </w:rPr>
              <w:t>领域价格监管</w:t>
            </w:r>
            <w:r>
              <w:rPr>
                <w:rFonts w:hint="eastAsia" w:ascii="宋体" w:hAnsi="宋体" w:eastAsia="宋体" w:cs="宋体"/>
                <w:b/>
                <w:bCs/>
                <w:color w:val="000000"/>
                <w:kern w:val="0"/>
                <w:sz w:val="21"/>
                <w:szCs w:val="21"/>
                <w:lang w:eastAsia="zh-CN"/>
              </w:rPr>
              <w:t>。</w:t>
            </w:r>
            <w:r>
              <w:rPr>
                <w:rFonts w:hint="eastAsia" w:ascii="宋体" w:hAnsi="宋体" w:eastAsia="宋体" w:cs="宋体"/>
                <w:b w:val="0"/>
                <w:bCs w:val="0"/>
                <w:color w:val="000000"/>
                <w:kern w:val="0"/>
                <w:sz w:val="21"/>
                <w:szCs w:val="21"/>
                <w:lang w:eastAsia="zh-CN"/>
              </w:rPr>
              <w:t>开展</w:t>
            </w:r>
            <w:r>
              <w:rPr>
                <w:rFonts w:hint="eastAsia" w:ascii="宋体" w:hAnsi="宋体" w:eastAsia="宋体" w:cs="宋体"/>
                <w:color w:val="000000"/>
                <w:kern w:val="0"/>
                <w:sz w:val="21"/>
                <w:szCs w:val="21"/>
                <w:lang w:eastAsia="zh-CN"/>
              </w:rPr>
              <w:t>中秋、春节</w:t>
            </w:r>
            <w:r>
              <w:rPr>
                <w:rFonts w:hint="eastAsia" w:ascii="宋体" w:hAnsi="宋体" w:eastAsia="宋体" w:cs="宋体"/>
                <w:color w:val="000000"/>
                <w:kern w:val="0"/>
                <w:sz w:val="21"/>
                <w:szCs w:val="21"/>
              </w:rPr>
              <w:t>期间</w:t>
            </w:r>
            <w:r>
              <w:rPr>
                <w:rFonts w:hint="eastAsia" w:ascii="宋体" w:hAnsi="宋体" w:eastAsia="宋体" w:cs="宋体"/>
                <w:color w:val="000000"/>
                <w:kern w:val="0"/>
                <w:sz w:val="21"/>
                <w:szCs w:val="21"/>
                <w:lang w:eastAsia="zh-CN"/>
              </w:rPr>
              <w:t>月饼和</w:t>
            </w:r>
            <w:r>
              <w:rPr>
                <w:rFonts w:hint="eastAsia" w:ascii="宋体" w:hAnsi="宋体" w:eastAsia="宋体" w:cs="宋体"/>
                <w:color w:val="000000"/>
                <w:kern w:val="0"/>
                <w:sz w:val="21"/>
                <w:szCs w:val="21"/>
              </w:rPr>
              <w:t>高端白酒市场</w:t>
            </w:r>
            <w:r>
              <w:rPr>
                <w:rFonts w:hint="eastAsia" w:ascii="宋体" w:hAnsi="宋体" w:eastAsia="宋体" w:cs="宋体"/>
                <w:color w:val="000000"/>
                <w:kern w:val="0"/>
                <w:sz w:val="21"/>
                <w:szCs w:val="21"/>
                <w:lang w:eastAsia="zh-CN"/>
              </w:rPr>
              <w:t>价格专项</w:t>
            </w:r>
            <w:r>
              <w:rPr>
                <w:rFonts w:hint="eastAsia" w:ascii="宋体" w:hAnsi="宋体" w:eastAsia="宋体" w:cs="宋体"/>
                <w:color w:val="000000"/>
                <w:kern w:val="0"/>
                <w:sz w:val="21"/>
                <w:szCs w:val="21"/>
              </w:rPr>
              <w:t>检查，检查景区（景点）8个，经营户120余户，电商70户次</w:t>
            </w:r>
            <w:r>
              <w:rPr>
                <w:rFonts w:hint="eastAsia" w:ascii="宋体" w:hAnsi="宋体" w:eastAsia="宋体" w:cs="宋体"/>
                <w:color w:val="000000"/>
                <w:kern w:val="0"/>
                <w:sz w:val="21"/>
                <w:szCs w:val="21"/>
                <w:lang w:eastAsia="zh-CN"/>
              </w:rPr>
              <w:t>，有力维护了节日市场价格秩序。</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2" w:firstLineChars="200"/>
              <w:rPr>
                <w:rFonts w:hint="eastAsia" w:ascii="宋体" w:hAnsi="宋体" w:eastAsia="宋体" w:cs="宋体"/>
                <w:color w:val="000000"/>
                <w:kern w:val="0"/>
                <w:sz w:val="21"/>
                <w:szCs w:val="21"/>
              </w:rPr>
            </w:pPr>
            <w:r>
              <w:rPr>
                <w:rFonts w:hint="eastAsia" w:ascii="宋体" w:hAnsi="宋体" w:eastAsia="宋体" w:cs="宋体"/>
                <w:b/>
                <w:bCs/>
                <w:color w:val="000000"/>
                <w:kern w:val="0"/>
                <w:sz w:val="21"/>
                <w:szCs w:val="21"/>
                <w:lang w:val="en-US" w:eastAsia="zh-CN"/>
              </w:rPr>
              <w:t>4.</w:t>
            </w:r>
            <w:r>
              <w:rPr>
                <w:rFonts w:hint="eastAsia" w:ascii="宋体" w:hAnsi="宋体" w:eastAsia="宋体" w:cs="宋体"/>
                <w:b/>
                <w:color w:val="000000"/>
                <w:sz w:val="21"/>
                <w:szCs w:val="21"/>
              </w:rPr>
              <w:t>强化民生领域价格监管。</w:t>
            </w:r>
            <w:r>
              <w:rPr>
                <w:rFonts w:hint="eastAsia" w:ascii="宋体" w:hAnsi="宋体" w:eastAsia="宋体" w:cs="宋体"/>
                <w:b w:val="0"/>
                <w:bCs/>
                <w:color w:val="000000"/>
                <w:sz w:val="21"/>
                <w:szCs w:val="21"/>
                <w:lang w:eastAsia="zh-CN"/>
              </w:rPr>
              <w:t>加强对</w:t>
            </w:r>
            <w:r>
              <w:rPr>
                <w:rFonts w:hint="eastAsia" w:ascii="宋体" w:hAnsi="宋体" w:eastAsia="宋体" w:cs="宋体"/>
                <w:b w:val="0"/>
                <w:bCs/>
                <w:color w:val="000000"/>
                <w:kern w:val="0"/>
                <w:sz w:val="21"/>
                <w:szCs w:val="21"/>
                <w:shd w:val="clear" w:color="auto" w:fill="FFFFFF"/>
              </w:rPr>
              <w:t>口罩、酒精、消毒液、体温表等防疫用品和粮油肉蛋奶</w:t>
            </w:r>
            <w:r>
              <w:rPr>
                <w:rFonts w:hint="eastAsia" w:ascii="宋体" w:hAnsi="宋体" w:eastAsia="宋体" w:cs="宋体"/>
                <w:b w:val="0"/>
                <w:bCs/>
                <w:color w:val="000000"/>
                <w:kern w:val="0"/>
                <w:sz w:val="21"/>
                <w:szCs w:val="21"/>
                <w:shd w:val="clear" w:color="auto" w:fill="FFFFFF"/>
                <w:lang w:eastAsia="zh-CN"/>
              </w:rPr>
              <w:t>等民生</w:t>
            </w:r>
            <w:r>
              <w:rPr>
                <w:rFonts w:hint="eastAsia" w:ascii="宋体" w:hAnsi="宋体" w:eastAsia="宋体" w:cs="宋体"/>
                <w:b w:val="0"/>
                <w:bCs/>
                <w:color w:val="000000"/>
                <w:sz w:val="21"/>
                <w:szCs w:val="21"/>
              </w:rPr>
              <w:t>领域价格监管，规范价格收费行为</w:t>
            </w:r>
            <w:r>
              <w:rPr>
                <w:rFonts w:hint="eastAsia" w:ascii="宋体" w:hAnsi="宋体" w:eastAsia="宋体" w:cs="宋体"/>
                <w:b w:val="0"/>
                <w:bCs/>
                <w:color w:val="000000"/>
                <w:sz w:val="21"/>
                <w:szCs w:val="21"/>
                <w:lang w:eastAsia="zh-CN"/>
              </w:rPr>
              <w:t>，</w:t>
            </w:r>
            <w:r>
              <w:rPr>
                <w:rFonts w:hint="eastAsia" w:ascii="宋体" w:hAnsi="宋体" w:eastAsia="宋体" w:cs="宋体"/>
                <w:b w:val="0"/>
                <w:bCs/>
                <w:color w:val="000000"/>
                <w:kern w:val="0"/>
                <w:sz w:val="21"/>
                <w:szCs w:val="21"/>
                <w:shd w:val="clear" w:color="auto" w:fill="FFFFFF"/>
              </w:rPr>
              <w:t>助力打赢疫情防控阻击战</w:t>
            </w:r>
            <w:r>
              <w:rPr>
                <w:rFonts w:hint="eastAsia" w:ascii="宋体" w:hAnsi="宋体" w:eastAsia="宋体" w:cs="宋体"/>
                <w:b w:val="0"/>
                <w:bCs/>
                <w:color w:val="000000"/>
                <w:kern w:val="0"/>
                <w:sz w:val="21"/>
                <w:szCs w:val="21"/>
                <w:shd w:val="clear" w:color="auto" w:fill="FFFFFF"/>
                <w:lang w:eastAsia="zh-CN"/>
              </w:rPr>
              <w:t>；</w:t>
            </w:r>
            <w:r>
              <w:rPr>
                <w:rFonts w:hint="eastAsia" w:ascii="宋体" w:hAnsi="宋体" w:eastAsia="宋体" w:cs="宋体"/>
                <w:color w:val="000000"/>
                <w:kern w:val="0"/>
                <w:sz w:val="21"/>
                <w:szCs w:val="21"/>
                <w:lang w:eastAsia="zh-CN"/>
              </w:rPr>
              <w:t>开展</w:t>
            </w:r>
            <w:r>
              <w:rPr>
                <w:rFonts w:hint="eastAsia" w:ascii="宋体" w:hAnsi="宋体" w:eastAsia="宋体" w:cs="宋体"/>
                <w:color w:val="000000"/>
                <w:kern w:val="0"/>
                <w:sz w:val="21"/>
                <w:szCs w:val="21"/>
              </w:rPr>
              <w:t>学校</w:t>
            </w:r>
            <w:r>
              <w:rPr>
                <w:rFonts w:hint="eastAsia" w:ascii="宋体" w:hAnsi="宋体" w:eastAsia="宋体" w:cs="宋体"/>
                <w:color w:val="000000"/>
                <w:kern w:val="0"/>
                <w:sz w:val="21"/>
                <w:szCs w:val="21"/>
                <w:lang w:eastAsia="zh-CN"/>
              </w:rPr>
              <w:t>价格收费</w:t>
            </w:r>
            <w:r>
              <w:rPr>
                <w:rFonts w:hint="eastAsia" w:ascii="宋体" w:hAnsi="宋体" w:eastAsia="宋体" w:cs="宋体"/>
                <w:color w:val="000000"/>
                <w:kern w:val="0"/>
                <w:sz w:val="21"/>
                <w:szCs w:val="21"/>
              </w:rPr>
              <w:t>检查，</w:t>
            </w:r>
            <w:r>
              <w:rPr>
                <w:rFonts w:hint="eastAsia" w:ascii="宋体" w:hAnsi="宋体" w:eastAsia="宋体" w:cs="宋体"/>
                <w:color w:val="000000"/>
                <w:kern w:val="0"/>
                <w:sz w:val="21"/>
                <w:szCs w:val="21"/>
                <w:lang w:eastAsia="zh-CN"/>
              </w:rPr>
              <w:t>依法查处辖区一学校</w:t>
            </w:r>
            <w:r>
              <w:rPr>
                <w:rFonts w:hint="eastAsia" w:ascii="宋体" w:hAnsi="宋体" w:eastAsia="宋体" w:cs="宋体"/>
                <w:color w:val="000000"/>
                <w:kern w:val="0"/>
                <w:sz w:val="21"/>
                <w:szCs w:val="21"/>
              </w:rPr>
              <w:t>高于政府定价对学生收取学费及学杂费</w:t>
            </w:r>
            <w:r>
              <w:rPr>
                <w:rFonts w:hint="eastAsia" w:ascii="宋体" w:hAnsi="宋体" w:eastAsia="宋体" w:cs="宋体"/>
                <w:color w:val="000000"/>
                <w:kern w:val="0"/>
                <w:sz w:val="21"/>
                <w:szCs w:val="21"/>
                <w:lang w:eastAsia="zh-CN"/>
              </w:rPr>
              <w:t>行为</w:t>
            </w:r>
            <w:r>
              <w:rPr>
                <w:rFonts w:hint="eastAsia" w:ascii="宋体" w:hAnsi="宋体" w:eastAsia="宋体" w:cs="宋体"/>
                <w:color w:val="000000"/>
                <w:kern w:val="0"/>
                <w:sz w:val="21"/>
                <w:szCs w:val="21"/>
              </w:rPr>
              <w:t>，罚款6.5万元。</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2" w:firstLineChars="200"/>
              <w:rPr>
                <w:rFonts w:hint="eastAsia" w:ascii="宋体" w:hAnsi="宋体" w:eastAsia="宋体" w:cs="宋体"/>
                <w:color w:val="000000"/>
                <w:sz w:val="21"/>
                <w:szCs w:val="21"/>
              </w:rPr>
            </w:pPr>
            <w:r>
              <w:rPr>
                <w:rFonts w:hint="eastAsia" w:ascii="宋体" w:hAnsi="宋体" w:eastAsia="宋体" w:cs="宋体"/>
                <w:b/>
                <w:color w:val="000000"/>
                <w:sz w:val="21"/>
                <w:szCs w:val="21"/>
                <w:lang w:val="en-US" w:eastAsia="zh-CN"/>
              </w:rPr>
              <w:t>5.</w:t>
            </w:r>
            <w:r>
              <w:rPr>
                <w:rFonts w:hint="eastAsia" w:ascii="宋体" w:hAnsi="宋体" w:eastAsia="宋体" w:cs="宋体"/>
                <w:b/>
                <w:color w:val="000000"/>
                <w:sz w:val="21"/>
                <w:szCs w:val="21"/>
              </w:rPr>
              <w:t>加大公平交易、打传规直案件查处力度</w:t>
            </w:r>
            <w:r>
              <w:rPr>
                <w:rFonts w:hint="eastAsia" w:ascii="宋体" w:hAnsi="宋体" w:eastAsia="宋体" w:cs="宋体"/>
                <w:b/>
                <w:color w:val="000000"/>
                <w:sz w:val="21"/>
                <w:szCs w:val="21"/>
                <w:lang w:eastAsia="zh-CN"/>
              </w:rPr>
              <w:t>。</w:t>
            </w:r>
            <w:r>
              <w:rPr>
                <w:rFonts w:hint="eastAsia" w:ascii="宋体" w:hAnsi="宋体" w:eastAsia="宋体" w:cs="宋体"/>
                <w:color w:val="000000"/>
                <w:sz w:val="21"/>
                <w:szCs w:val="21"/>
              </w:rPr>
              <w:t>严厉查处公用企业限制竞争</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rPr>
              <w:t>商业贿赂</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rPr>
              <w:t>“傍名牌”行为</w:t>
            </w:r>
            <w:r>
              <w:rPr>
                <w:rFonts w:hint="eastAsia" w:ascii="宋体" w:hAnsi="宋体" w:eastAsia="宋体" w:cs="宋体"/>
                <w:color w:val="000000"/>
                <w:sz w:val="21"/>
                <w:szCs w:val="21"/>
                <w:lang w:eastAsia="zh-CN"/>
              </w:rPr>
              <w:t>，全年</w:t>
            </w:r>
            <w:r>
              <w:rPr>
                <w:rFonts w:hint="eastAsia" w:ascii="宋体" w:hAnsi="宋体" w:eastAsia="宋体" w:cs="宋体"/>
                <w:color w:val="000000"/>
                <w:sz w:val="21"/>
                <w:szCs w:val="21"/>
              </w:rPr>
              <w:t>查处不正当竞争案件2起，罚没款4万元。</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2" w:firstLineChars="200"/>
            </w:pPr>
            <w:r>
              <w:rPr>
                <w:rFonts w:hint="eastAsia" w:ascii="宋体" w:hAnsi="宋体" w:eastAsia="宋体" w:cs="宋体"/>
                <w:b/>
                <w:color w:val="000000"/>
                <w:sz w:val="21"/>
                <w:szCs w:val="21"/>
                <w:lang w:val="en-US" w:eastAsia="zh-CN"/>
              </w:rPr>
              <w:t>6.</w:t>
            </w:r>
            <w:r>
              <w:rPr>
                <w:rFonts w:hint="eastAsia" w:ascii="宋体" w:hAnsi="宋体" w:eastAsia="宋体" w:cs="宋体"/>
                <w:b/>
                <w:color w:val="000000"/>
                <w:sz w:val="21"/>
                <w:szCs w:val="21"/>
              </w:rPr>
              <w:t>做好</w:t>
            </w:r>
            <w:r>
              <w:rPr>
                <w:rFonts w:hint="eastAsia" w:ascii="宋体" w:hAnsi="宋体" w:eastAsia="宋体" w:cs="宋体"/>
                <w:b/>
                <w:color w:val="000000"/>
                <w:sz w:val="21"/>
                <w:szCs w:val="21"/>
                <w:lang w:eastAsia="zh-CN"/>
              </w:rPr>
              <w:t>疫情防控</w:t>
            </w:r>
            <w:r>
              <w:rPr>
                <w:rFonts w:hint="eastAsia" w:ascii="宋体" w:hAnsi="宋体" w:eastAsia="宋体" w:cs="宋体"/>
                <w:b/>
                <w:color w:val="000000"/>
                <w:sz w:val="21"/>
                <w:szCs w:val="21"/>
              </w:rPr>
              <w:t>常态化工作。</w:t>
            </w:r>
            <w:r>
              <w:rPr>
                <w:rFonts w:hint="eastAsia" w:ascii="宋体" w:hAnsi="宋体" w:eastAsia="宋体" w:cs="宋体"/>
                <w:b w:val="0"/>
                <w:bCs/>
                <w:color w:val="000000"/>
                <w:sz w:val="21"/>
                <w:szCs w:val="21"/>
                <w:lang w:eastAsia="zh-CN"/>
              </w:rPr>
              <w:t>围绕</w:t>
            </w:r>
            <w:r>
              <w:rPr>
                <w:rFonts w:hint="eastAsia" w:ascii="宋体" w:hAnsi="宋体" w:eastAsia="宋体" w:cs="宋体"/>
                <w:b w:val="0"/>
                <w:bCs/>
                <w:color w:val="000000"/>
                <w:sz w:val="21"/>
                <w:szCs w:val="21"/>
              </w:rPr>
              <w:t>农贸市场、药店等重点场所</w:t>
            </w:r>
            <w:r>
              <w:rPr>
                <w:rFonts w:hint="eastAsia" w:ascii="宋体" w:hAnsi="宋体" w:eastAsia="宋体" w:cs="宋体"/>
                <w:b w:val="0"/>
                <w:bCs/>
                <w:color w:val="000000"/>
                <w:sz w:val="21"/>
                <w:szCs w:val="21"/>
                <w:lang w:eastAsia="zh-CN"/>
              </w:rPr>
              <w:t>做好人防；</w:t>
            </w:r>
            <w:r>
              <w:rPr>
                <w:rFonts w:hint="eastAsia" w:ascii="宋体" w:hAnsi="宋体" w:eastAsia="宋体" w:cs="宋体"/>
                <w:b w:val="0"/>
                <w:bCs/>
                <w:color w:val="000000"/>
                <w:sz w:val="21"/>
                <w:szCs w:val="21"/>
              </w:rPr>
              <w:t>聚焦冷链</w:t>
            </w:r>
            <w:r>
              <w:rPr>
                <w:rFonts w:hint="eastAsia" w:ascii="宋体" w:hAnsi="宋体" w:eastAsia="宋体" w:cs="宋体"/>
                <w:b w:val="0"/>
                <w:bCs/>
                <w:color w:val="000000"/>
                <w:sz w:val="21"/>
                <w:szCs w:val="21"/>
                <w:lang w:eastAsia="zh-CN"/>
              </w:rPr>
              <w:t>物流</w:t>
            </w:r>
            <w:r>
              <w:rPr>
                <w:rFonts w:hint="eastAsia" w:ascii="宋体" w:hAnsi="宋体" w:eastAsia="宋体" w:cs="宋体"/>
                <w:b w:val="0"/>
                <w:bCs/>
                <w:color w:val="000000"/>
                <w:sz w:val="21"/>
                <w:szCs w:val="21"/>
              </w:rPr>
              <w:t>、进口水果等重点环节加强物防</w:t>
            </w:r>
            <w:r>
              <w:rPr>
                <w:rFonts w:hint="eastAsia" w:ascii="宋体" w:hAnsi="宋体" w:eastAsia="宋体" w:cs="宋体"/>
                <w:b w:val="0"/>
                <w:bCs/>
                <w:color w:val="000000"/>
                <w:sz w:val="21"/>
                <w:szCs w:val="21"/>
                <w:lang w:eastAsia="zh-CN"/>
              </w:rPr>
              <w:t>；落实区防指高速卡口值班要求，盯紧</w:t>
            </w:r>
            <w:r>
              <w:rPr>
                <w:rFonts w:hint="eastAsia" w:ascii="宋体" w:hAnsi="宋体" w:eastAsia="宋体" w:cs="宋体"/>
                <w:b w:val="0"/>
                <w:bCs/>
                <w:color w:val="000000"/>
                <w:sz w:val="21"/>
                <w:szCs w:val="21"/>
              </w:rPr>
              <w:t>重点人群加强人员排查、督促核酸等工作</w:t>
            </w:r>
            <w:r>
              <w:rPr>
                <w:rFonts w:hint="eastAsia" w:ascii="宋体" w:hAnsi="宋体" w:eastAsia="宋体" w:cs="宋体"/>
                <w:b w:val="0"/>
                <w:bCs/>
                <w:color w:val="000000"/>
                <w:sz w:val="21"/>
                <w:szCs w:val="21"/>
                <w:lang w:eastAsia="zh-CN"/>
              </w:rPr>
              <w:t>；</w:t>
            </w:r>
            <w:r>
              <w:rPr>
                <w:rFonts w:hint="eastAsia" w:ascii="宋体" w:hAnsi="宋体" w:eastAsia="宋体" w:cs="宋体"/>
                <w:b w:val="0"/>
                <w:bCs/>
                <w:color w:val="000000"/>
                <w:sz w:val="21"/>
                <w:szCs w:val="21"/>
              </w:rPr>
              <w:t>加强网络订餐平台外卖人员疫情防控,严厉打击线上线下野生动物违规交易</w:t>
            </w:r>
            <w:r>
              <w:rPr>
                <w:rFonts w:hint="eastAsia" w:ascii="宋体" w:hAnsi="宋体" w:eastAsia="宋体" w:cs="宋体"/>
                <w:b w:val="0"/>
                <w:bCs/>
                <w:color w:val="000000"/>
                <w:sz w:val="21"/>
                <w:szCs w:val="21"/>
                <w:lang w:eastAsia="zh-CN"/>
              </w:rPr>
              <w:t>；</w:t>
            </w:r>
            <w:r>
              <w:rPr>
                <w:rFonts w:hint="eastAsia" w:ascii="宋体" w:hAnsi="宋体" w:eastAsia="宋体" w:cs="宋体"/>
                <w:b w:val="0"/>
                <w:bCs/>
                <w:color w:val="000000"/>
                <w:sz w:val="21"/>
                <w:szCs w:val="21"/>
              </w:rPr>
              <w:t>配合疾控中心对冷冻食品、海鲜销售、加工市场</w:t>
            </w:r>
            <w:r>
              <w:rPr>
                <w:rFonts w:hint="eastAsia" w:ascii="宋体" w:hAnsi="宋体" w:eastAsia="宋体" w:cs="宋体"/>
                <w:b w:val="0"/>
                <w:bCs/>
                <w:color w:val="000000"/>
                <w:sz w:val="21"/>
                <w:szCs w:val="21"/>
                <w:lang w:eastAsia="zh-CN"/>
              </w:rPr>
              <w:t>开展抽样</w:t>
            </w:r>
            <w:r>
              <w:rPr>
                <w:rFonts w:hint="eastAsia" w:ascii="宋体" w:hAnsi="宋体" w:eastAsia="宋体" w:cs="宋体"/>
                <w:b w:val="0"/>
                <w:bCs/>
                <w:color w:val="000000"/>
                <w:sz w:val="21"/>
                <w:szCs w:val="21"/>
              </w:rPr>
              <w:t>检测，报送各类信息400</w:t>
            </w:r>
            <w:r>
              <w:rPr>
                <w:rFonts w:hint="eastAsia" w:ascii="宋体" w:hAnsi="宋体" w:eastAsia="宋体" w:cs="宋体"/>
                <w:b w:val="0"/>
                <w:bCs/>
                <w:color w:val="000000"/>
                <w:sz w:val="21"/>
                <w:szCs w:val="21"/>
                <w:lang w:eastAsia="zh-CN"/>
              </w:rPr>
              <w:t>余</w:t>
            </w:r>
            <w:r>
              <w:rPr>
                <w:rFonts w:hint="eastAsia" w:ascii="宋体" w:hAnsi="宋体" w:eastAsia="宋体" w:cs="宋体"/>
                <w:b w:val="0"/>
                <w:bCs/>
                <w:color w:val="000000"/>
                <w:sz w:val="21"/>
                <w:szCs w:val="21"/>
              </w:rPr>
              <w:t>份。</w:t>
            </w:r>
          </w:p>
          <w:p>
            <w:pPr>
              <w:pStyle w:val="3"/>
              <w:rPr>
                <w:rFonts w:hint="eastAsia"/>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9800" w:type="dxa"/>
            <w:gridSpan w:val="17"/>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黑体" w:hAnsi="黑体" w:eastAsia="黑体" w:cs="黑体"/>
                <w:color w:val="000000"/>
                <w:sz w:val="28"/>
                <w:szCs w:val="28"/>
              </w:rPr>
              <w:t>二、部门（单位）收支情况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9800" w:type="dxa"/>
            <w:gridSpan w:val="17"/>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b/>
                <w:bCs/>
                <w:color w:val="000000"/>
                <w:sz w:val="24"/>
              </w:rPr>
              <w:t>年度收入情况（万元）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1700" w:type="dxa"/>
            <w:gridSpan w:val="3"/>
            <w:vMerge w:val="restart"/>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机构名称</w:t>
            </w:r>
          </w:p>
        </w:tc>
        <w:tc>
          <w:tcPr>
            <w:tcW w:w="1080" w:type="dxa"/>
            <w:vMerge w:val="restart"/>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收入合计</w:t>
            </w:r>
          </w:p>
        </w:tc>
        <w:tc>
          <w:tcPr>
            <w:tcW w:w="7020" w:type="dxa"/>
            <w:gridSpan w:val="13"/>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1014" w:hRule="atLeast"/>
          <w:jc w:val="center"/>
        </w:trPr>
        <w:tc>
          <w:tcPr>
            <w:tcW w:w="1700" w:type="dxa"/>
            <w:gridSpan w:val="3"/>
            <w:vMerge w:val="continue"/>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080" w:type="dxa"/>
            <w:vMerge w:val="continue"/>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355" w:type="dxa"/>
            <w:gridSpan w:val="2"/>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上年结转</w:t>
            </w:r>
          </w:p>
        </w:tc>
        <w:tc>
          <w:tcPr>
            <w:tcW w:w="1373"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公共财</w:t>
            </w:r>
          </w:p>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政拨款</w:t>
            </w:r>
          </w:p>
        </w:tc>
        <w:tc>
          <w:tcPr>
            <w:tcW w:w="1412" w:type="dxa"/>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政府基金拨款</w:t>
            </w:r>
          </w:p>
        </w:tc>
        <w:tc>
          <w:tcPr>
            <w:tcW w:w="1800" w:type="dxa"/>
            <w:gridSpan w:val="5"/>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纳入专户管理的非税收入拨款</w:t>
            </w:r>
          </w:p>
        </w:tc>
        <w:tc>
          <w:tcPr>
            <w:tcW w:w="1080" w:type="dxa"/>
            <w:gridSpan w:val="3"/>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收入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772" w:hRule="atLeast"/>
          <w:jc w:val="center"/>
        </w:trPr>
        <w:tc>
          <w:tcPr>
            <w:tcW w:w="1700" w:type="dxa"/>
            <w:gridSpan w:val="3"/>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局机关及二级机构汇总</w:t>
            </w:r>
          </w:p>
        </w:tc>
        <w:tc>
          <w:tcPr>
            <w:tcW w:w="1080" w:type="dxa"/>
            <w:tcBorders>
              <w:right w:val="single" w:color="auto" w:sz="4" w:space="0"/>
            </w:tcBorders>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1776.52</w:t>
            </w:r>
          </w:p>
        </w:tc>
        <w:tc>
          <w:tcPr>
            <w:tcW w:w="1355" w:type="dxa"/>
            <w:gridSpan w:val="2"/>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373" w:type="dxa"/>
            <w:gridSpan w:val="2"/>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1730.72</w:t>
            </w:r>
          </w:p>
        </w:tc>
        <w:tc>
          <w:tcPr>
            <w:tcW w:w="1412" w:type="dxa"/>
            <w:vAlign w:val="center"/>
          </w:tcPr>
          <w:p>
            <w:pPr>
              <w:autoSpaceDN w:val="0"/>
              <w:spacing w:line="320" w:lineRule="exact"/>
              <w:jc w:val="left"/>
              <w:textAlignment w:val="center"/>
              <w:rPr>
                <w:rFonts w:hint="eastAsia" w:ascii="仿宋_GB2312" w:hAnsi="仿宋_GB2312" w:eastAsia="仿宋_GB2312" w:cs="仿宋_GB2312"/>
                <w:color w:val="000000"/>
                <w:sz w:val="24"/>
              </w:rPr>
            </w:pPr>
          </w:p>
        </w:tc>
        <w:tc>
          <w:tcPr>
            <w:tcW w:w="1800" w:type="dxa"/>
            <w:gridSpan w:val="5"/>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p>
        </w:tc>
        <w:tc>
          <w:tcPr>
            <w:tcW w:w="1080" w:type="dxa"/>
            <w:gridSpan w:val="3"/>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45.80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7" w:hRule="atLeast"/>
          <w:jc w:val="center"/>
        </w:trPr>
        <w:tc>
          <w:tcPr>
            <w:tcW w:w="1700" w:type="dxa"/>
            <w:gridSpan w:val="3"/>
            <w:vAlign w:val="center"/>
          </w:tcPr>
          <w:p>
            <w:pPr>
              <w:spacing w:line="320" w:lineRule="exact"/>
              <w:rPr>
                <w:rFonts w:hint="eastAsia" w:ascii="仿宋_GB2312" w:hAnsi="仿宋_GB2312" w:eastAsia="仿宋_GB2312" w:cs="仿宋_GB2312"/>
                <w:sz w:val="24"/>
              </w:rPr>
            </w:pPr>
            <w:r>
              <w:rPr>
                <w:rFonts w:hint="eastAsia" w:ascii="仿宋_GB2312" w:hAnsi="仿宋_GB2312" w:eastAsia="仿宋_GB2312" w:cs="仿宋_GB2312"/>
                <w:sz w:val="24"/>
              </w:rPr>
              <w:t>1、局机关</w:t>
            </w:r>
          </w:p>
        </w:tc>
        <w:tc>
          <w:tcPr>
            <w:tcW w:w="1080" w:type="dxa"/>
            <w:tcBorders>
              <w:right w:val="single" w:color="auto" w:sz="4" w:space="0"/>
            </w:tcBorders>
            <w:vAlign w:val="center"/>
          </w:tcPr>
          <w:p>
            <w:pPr>
              <w:autoSpaceDN w:val="0"/>
              <w:spacing w:line="320" w:lineRule="exact"/>
              <w:jc w:val="left"/>
              <w:textAlignment w:val="center"/>
              <w:rPr>
                <w:rFonts w:hint="eastAsia" w:ascii="仿宋_GB2312" w:hAnsi="仿宋_GB2312" w:eastAsia="仿宋_GB2312" w:cs="仿宋_GB2312"/>
                <w:color w:val="000000"/>
                <w:sz w:val="24"/>
              </w:rPr>
            </w:pPr>
          </w:p>
        </w:tc>
        <w:tc>
          <w:tcPr>
            <w:tcW w:w="1355" w:type="dxa"/>
            <w:gridSpan w:val="2"/>
            <w:tcBorders>
              <w:left w:val="single" w:color="auto" w:sz="4" w:space="0"/>
            </w:tcBorders>
            <w:vAlign w:val="center"/>
          </w:tcPr>
          <w:p>
            <w:pPr>
              <w:autoSpaceDN w:val="0"/>
              <w:spacing w:line="320" w:lineRule="exact"/>
              <w:jc w:val="left"/>
              <w:textAlignment w:val="center"/>
              <w:rPr>
                <w:rFonts w:hint="eastAsia" w:ascii="仿宋_GB2312" w:hAnsi="仿宋_GB2312" w:eastAsia="仿宋_GB2312" w:cs="仿宋_GB2312"/>
                <w:color w:val="000000"/>
                <w:sz w:val="24"/>
              </w:rPr>
            </w:pPr>
          </w:p>
        </w:tc>
        <w:tc>
          <w:tcPr>
            <w:tcW w:w="1373" w:type="dxa"/>
            <w:gridSpan w:val="2"/>
            <w:vAlign w:val="center"/>
          </w:tcPr>
          <w:p>
            <w:pPr>
              <w:autoSpaceDN w:val="0"/>
              <w:spacing w:line="320" w:lineRule="exact"/>
              <w:jc w:val="left"/>
              <w:textAlignment w:val="center"/>
              <w:rPr>
                <w:rFonts w:hint="eastAsia" w:ascii="仿宋_GB2312" w:hAnsi="仿宋_GB2312" w:eastAsia="仿宋_GB2312" w:cs="仿宋_GB2312"/>
                <w:color w:val="000000"/>
                <w:sz w:val="24"/>
              </w:rPr>
            </w:pPr>
          </w:p>
        </w:tc>
        <w:tc>
          <w:tcPr>
            <w:tcW w:w="1412" w:type="dxa"/>
            <w:vAlign w:val="center"/>
          </w:tcPr>
          <w:p>
            <w:pPr>
              <w:autoSpaceDN w:val="0"/>
              <w:spacing w:line="320" w:lineRule="exact"/>
              <w:jc w:val="left"/>
              <w:textAlignment w:val="center"/>
              <w:rPr>
                <w:rFonts w:hint="eastAsia" w:ascii="仿宋_GB2312" w:hAnsi="仿宋_GB2312" w:eastAsia="仿宋_GB2312" w:cs="仿宋_GB2312"/>
                <w:color w:val="000000"/>
                <w:sz w:val="24"/>
              </w:rPr>
            </w:pPr>
          </w:p>
        </w:tc>
        <w:tc>
          <w:tcPr>
            <w:tcW w:w="1800" w:type="dxa"/>
            <w:gridSpan w:val="5"/>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080" w:type="dxa"/>
            <w:gridSpan w:val="3"/>
            <w:vAlign w:val="center"/>
          </w:tcPr>
          <w:p>
            <w:pPr>
              <w:autoSpaceDN w:val="0"/>
              <w:spacing w:line="320" w:lineRule="exact"/>
              <w:jc w:val="lef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1700" w:type="dxa"/>
            <w:gridSpan w:val="3"/>
            <w:vAlign w:val="center"/>
          </w:tcPr>
          <w:p>
            <w:pPr>
              <w:spacing w:line="320" w:lineRule="exact"/>
              <w:rPr>
                <w:rFonts w:hint="eastAsia" w:ascii="仿宋_GB2312" w:hAnsi="仿宋_GB2312" w:eastAsia="仿宋_GB2312" w:cs="仿宋_GB2312"/>
                <w:sz w:val="24"/>
              </w:rPr>
            </w:pPr>
            <w:r>
              <w:rPr>
                <w:rFonts w:hint="eastAsia" w:ascii="仿宋_GB2312" w:hAnsi="仿宋_GB2312" w:eastAsia="仿宋_GB2312" w:cs="仿宋_GB2312"/>
                <w:sz w:val="24"/>
              </w:rPr>
              <w:t>2、二级机构1</w:t>
            </w:r>
          </w:p>
        </w:tc>
        <w:tc>
          <w:tcPr>
            <w:tcW w:w="1080" w:type="dxa"/>
            <w:tcBorders>
              <w:right w:val="single" w:color="auto" w:sz="4" w:space="0"/>
            </w:tcBorders>
            <w:vAlign w:val="center"/>
          </w:tcPr>
          <w:p>
            <w:pPr>
              <w:autoSpaceDN w:val="0"/>
              <w:spacing w:line="320" w:lineRule="exact"/>
              <w:jc w:val="left"/>
              <w:textAlignment w:val="center"/>
              <w:rPr>
                <w:rFonts w:hint="eastAsia" w:ascii="仿宋_GB2312" w:hAnsi="仿宋_GB2312" w:eastAsia="仿宋_GB2312" w:cs="仿宋_GB2312"/>
                <w:color w:val="000000"/>
                <w:sz w:val="24"/>
              </w:rPr>
            </w:pPr>
          </w:p>
        </w:tc>
        <w:tc>
          <w:tcPr>
            <w:tcW w:w="1355" w:type="dxa"/>
            <w:gridSpan w:val="2"/>
            <w:tcBorders>
              <w:left w:val="single" w:color="auto" w:sz="4" w:space="0"/>
            </w:tcBorders>
            <w:vAlign w:val="center"/>
          </w:tcPr>
          <w:p>
            <w:pPr>
              <w:autoSpaceDN w:val="0"/>
              <w:spacing w:line="320" w:lineRule="exact"/>
              <w:jc w:val="left"/>
              <w:textAlignment w:val="center"/>
              <w:rPr>
                <w:rFonts w:hint="eastAsia" w:ascii="仿宋_GB2312" w:hAnsi="仿宋_GB2312" w:eastAsia="仿宋_GB2312" w:cs="仿宋_GB2312"/>
                <w:color w:val="000000"/>
                <w:sz w:val="24"/>
              </w:rPr>
            </w:pPr>
          </w:p>
        </w:tc>
        <w:tc>
          <w:tcPr>
            <w:tcW w:w="1373" w:type="dxa"/>
            <w:gridSpan w:val="2"/>
            <w:vAlign w:val="center"/>
          </w:tcPr>
          <w:p>
            <w:pPr>
              <w:autoSpaceDN w:val="0"/>
              <w:spacing w:line="320" w:lineRule="exact"/>
              <w:jc w:val="left"/>
              <w:textAlignment w:val="center"/>
              <w:rPr>
                <w:rFonts w:hint="eastAsia" w:ascii="仿宋_GB2312" w:hAnsi="仿宋_GB2312" w:eastAsia="仿宋_GB2312" w:cs="仿宋_GB2312"/>
                <w:color w:val="000000"/>
                <w:sz w:val="24"/>
              </w:rPr>
            </w:pPr>
          </w:p>
        </w:tc>
        <w:tc>
          <w:tcPr>
            <w:tcW w:w="1412" w:type="dxa"/>
            <w:vAlign w:val="center"/>
          </w:tcPr>
          <w:p>
            <w:pPr>
              <w:autoSpaceDN w:val="0"/>
              <w:spacing w:line="320" w:lineRule="exact"/>
              <w:jc w:val="left"/>
              <w:textAlignment w:val="center"/>
              <w:rPr>
                <w:rFonts w:hint="eastAsia" w:ascii="仿宋_GB2312" w:hAnsi="仿宋_GB2312" w:eastAsia="仿宋_GB2312" w:cs="仿宋_GB2312"/>
                <w:color w:val="000000"/>
                <w:sz w:val="24"/>
              </w:rPr>
            </w:pPr>
          </w:p>
        </w:tc>
        <w:tc>
          <w:tcPr>
            <w:tcW w:w="1800" w:type="dxa"/>
            <w:gridSpan w:val="5"/>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080" w:type="dxa"/>
            <w:gridSpan w:val="3"/>
            <w:vAlign w:val="center"/>
          </w:tcPr>
          <w:p>
            <w:pPr>
              <w:autoSpaceDN w:val="0"/>
              <w:spacing w:line="320" w:lineRule="exact"/>
              <w:jc w:val="lef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1700" w:type="dxa"/>
            <w:gridSpan w:val="3"/>
            <w:vAlign w:val="center"/>
          </w:tcPr>
          <w:p>
            <w:pPr>
              <w:spacing w:line="320" w:lineRule="exact"/>
              <w:rPr>
                <w:rFonts w:hint="eastAsia" w:ascii="仿宋_GB2312" w:hAnsi="仿宋_GB2312" w:eastAsia="仿宋_GB2312" w:cs="仿宋_GB2312"/>
                <w:sz w:val="24"/>
              </w:rPr>
            </w:pPr>
            <w:r>
              <w:rPr>
                <w:rFonts w:hint="eastAsia" w:ascii="仿宋_GB2312" w:hAnsi="仿宋_GB2312" w:eastAsia="仿宋_GB2312" w:cs="仿宋_GB2312"/>
                <w:sz w:val="24"/>
              </w:rPr>
              <w:t>3、二级机构2</w:t>
            </w:r>
          </w:p>
        </w:tc>
        <w:tc>
          <w:tcPr>
            <w:tcW w:w="1080" w:type="dxa"/>
            <w:tcBorders>
              <w:right w:val="single" w:color="auto" w:sz="4" w:space="0"/>
            </w:tcBorders>
            <w:vAlign w:val="center"/>
          </w:tcPr>
          <w:p>
            <w:pPr>
              <w:autoSpaceDN w:val="0"/>
              <w:spacing w:line="320" w:lineRule="exact"/>
              <w:jc w:val="left"/>
              <w:textAlignment w:val="center"/>
              <w:rPr>
                <w:rFonts w:hint="eastAsia" w:ascii="仿宋_GB2312" w:hAnsi="仿宋_GB2312" w:eastAsia="仿宋_GB2312" w:cs="仿宋_GB2312"/>
                <w:color w:val="000000"/>
                <w:sz w:val="24"/>
              </w:rPr>
            </w:pPr>
          </w:p>
        </w:tc>
        <w:tc>
          <w:tcPr>
            <w:tcW w:w="1355" w:type="dxa"/>
            <w:gridSpan w:val="2"/>
            <w:tcBorders>
              <w:left w:val="single" w:color="auto" w:sz="4" w:space="0"/>
            </w:tcBorders>
            <w:vAlign w:val="center"/>
          </w:tcPr>
          <w:p>
            <w:pPr>
              <w:autoSpaceDN w:val="0"/>
              <w:spacing w:line="320" w:lineRule="exact"/>
              <w:jc w:val="left"/>
              <w:textAlignment w:val="center"/>
              <w:rPr>
                <w:rFonts w:hint="eastAsia" w:ascii="仿宋_GB2312" w:hAnsi="仿宋_GB2312" w:eastAsia="仿宋_GB2312" w:cs="仿宋_GB2312"/>
                <w:color w:val="000000"/>
                <w:sz w:val="24"/>
              </w:rPr>
            </w:pPr>
          </w:p>
        </w:tc>
        <w:tc>
          <w:tcPr>
            <w:tcW w:w="1373" w:type="dxa"/>
            <w:gridSpan w:val="2"/>
            <w:vAlign w:val="center"/>
          </w:tcPr>
          <w:p>
            <w:pPr>
              <w:autoSpaceDN w:val="0"/>
              <w:spacing w:line="320" w:lineRule="exact"/>
              <w:jc w:val="left"/>
              <w:textAlignment w:val="center"/>
              <w:rPr>
                <w:rFonts w:hint="eastAsia" w:ascii="仿宋_GB2312" w:hAnsi="仿宋_GB2312" w:eastAsia="仿宋_GB2312" w:cs="仿宋_GB2312"/>
                <w:color w:val="000000"/>
                <w:sz w:val="24"/>
              </w:rPr>
            </w:pPr>
          </w:p>
        </w:tc>
        <w:tc>
          <w:tcPr>
            <w:tcW w:w="1412" w:type="dxa"/>
            <w:vAlign w:val="center"/>
          </w:tcPr>
          <w:p>
            <w:pPr>
              <w:autoSpaceDN w:val="0"/>
              <w:spacing w:line="320" w:lineRule="exact"/>
              <w:jc w:val="left"/>
              <w:textAlignment w:val="center"/>
              <w:rPr>
                <w:rFonts w:hint="eastAsia" w:ascii="仿宋_GB2312" w:hAnsi="仿宋_GB2312" w:eastAsia="仿宋_GB2312" w:cs="仿宋_GB2312"/>
                <w:color w:val="000000"/>
                <w:sz w:val="24"/>
              </w:rPr>
            </w:pPr>
          </w:p>
        </w:tc>
        <w:tc>
          <w:tcPr>
            <w:tcW w:w="1800" w:type="dxa"/>
            <w:gridSpan w:val="5"/>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080" w:type="dxa"/>
            <w:gridSpan w:val="3"/>
            <w:vAlign w:val="center"/>
          </w:tcPr>
          <w:p>
            <w:pPr>
              <w:autoSpaceDN w:val="0"/>
              <w:spacing w:line="320" w:lineRule="exact"/>
              <w:jc w:val="lef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9800" w:type="dxa"/>
            <w:gridSpan w:val="17"/>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b/>
                <w:bCs/>
                <w:color w:val="000000"/>
                <w:sz w:val="24"/>
              </w:rPr>
              <w:t>部门（单位）年度支出和结余情况（万元）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vMerge w:val="restart"/>
            <w:vAlign w:val="center"/>
          </w:tcPr>
          <w:p>
            <w:pPr>
              <w:snapToGrid w:val="0"/>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支出合计</w:t>
            </w:r>
          </w:p>
        </w:tc>
        <w:tc>
          <w:tcPr>
            <w:tcW w:w="5675" w:type="dxa"/>
            <w:gridSpan w:val="8"/>
            <w:tcBorders>
              <w:left w:val="single" w:color="auto" w:sz="4" w:space="0"/>
              <w:bottom w:val="single" w:color="auto" w:sz="4" w:space="0"/>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345" w:type="dxa"/>
            <w:gridSpan w:val="5"/>
            <w:tcBorders>
              <w:left w:val="single" w:color="auto" w:sz="4" w:space="0"/>
              <w:bottom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vMerge w:val="continue"/>
            <w:vAlign w:val="center"/>
          </w:tcPr>
          <w:p>
            <w:pPr>
              <w:spacing w:line="320" w:lineRule="exact"/>
              <w:jc w:val="center"/>
              <w:rPr>
                <w:rFonts w:hint="eastAsia" w:ascii="仿宋_GB2312" w:hAnsi="仿宋_GB2312" w:eastAsia="仿宋_GB2312" w:cs="仿宋_GB2312"/>
                <w:sz w:val="24"/>
              </w:rPr>
            </w:pPr>
          </w:p>
        </w:tc>
        <w:tc>
          <w:tcPr>
            <w:tcW w:w="1080" w:type="dxa"/>
            <w:vMerge w:val="continue"/>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355" w:type="dxa"/>
            <w:gridSpan w:val="2"/>
            <w:vMerge w:val="restart"/>
            <w:tcBorders>
              <w:top w:val="single" w:color="auto" w:sz="4" w:space="0"/>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基本支出</w:t>
            </w:r>
          </w:p>
        </w:tc>
        <w:tc>
          <w:tcPr>
            <w:tcW w:w="3240" w:type="dxa"/>
            <w:gridSpan w:val="5"/>
            <w:tcBorders>
              <w:top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080" w:type="dxa"/>
            <w:vMerge w:val="restart"/>
            <w:tcBorders>
              <w:top w:val="single" w:color="auto" w:sz="4" w:space="0"/>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项目支出</w:t>
            </w:r>
          </w:p>
        </w:tc>
        <w:tc>
          <w:tcPr>
            <w:tcW w:w="720" w:type="dxa"/>
            <w:gridSpan w:val="4"/>
            <w:vMerge w:val="restart"/>
            <w:tcBorders>
              <w:top w:val="single" w:color="auto" w:sz="4" w:space="0"/>
              <w:left w:val="single" w:color="auto" w:sz="4" w:space="0"/>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当年结余</w:t>
            </w:r>
          </w:p>
        </w:tc>
        <w:tc>
          <w:tcPr>
            <w:tcW w:w="625" w:type="dxa"/>
            <w:vMerge w:val="restart"/>
            <w:tcBorders>
              <w:top w:val="single" w:color="auto" w:sz="4" w:space="0"/>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累计结余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vMerge w:val="continue"/>
            <w:vAlign w:val="center"/>
          </w:tcPr>
          <w:p>
            <w:pPr>
              <w:spacing w:line="320" w:lineRule="exact"/>
              <w:jc w:val="center"/>
              <w:rPr>
                <w:rFonts w:hint="eastAsia" w:ascii="仿宋_GB2312" w:hAnsi="仿宋_GB2312" w:eastAsia="仿宋_GB2312" w:cs="仿宋_GB2312"/>
                <w:sz w:val="24"/>
              </w:rPr>
            </w:pPr>
          </w:p>
        </w:tc>
        <w:tc>
          <w:tcPr>
            <w:tcW w:w="1080" w:type="dxa"/>
            <w:vMerge w:val="continue"/>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355" w:type="dxa"/>
            <w:gridSpan w:val="2"/>
            <w:vMerge w:val="continue"/>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373"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人员支出</w:t>
            </w:r>
          </w:p>
        </w:tc>
        <w:tc>
          <w:tcPr>
            <w:tcW w:w="1867" w:type="dxa"/>
            <w:gridSpan w:val="3"/>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公用支出</w:t>
            </w:r>
          </w:p>
        </w:tc>
        <w:tc>
          <w:tcPr>
            <w:tcW w:w="1080" w:type="dxa"/>
            <w:vMerge w:val="continue"/>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720" w:type="dxa"/>
            <w:gridSpan w:val="4"/>
            <w:vMerge w:val="continue"/>
            <w:tcBorders>
              <w:left w:val="single" w:color="auto" w:sz="4" w:space="0"/>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625" w:type="dxa"/>
            <w:vMerge w:val="continue"/>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877" w:hRule="atLeast"/>
          <w:jc w:val="center"/>
        </w:trPr>
        <w:tc>
          <w:tcPr>
            <w:tcW w:w="1700" w:type="dxa"/>
            <w:gridSpan w:val="3"/>
            <w:vAlign w:val="center"/>
          </w:tcPr>
          <w:p>
            <w:pPr>
              <w:spacing w:line="320" w:lineRule="exact"/>
              <w:jc w:val="left"/>
              <w:rPr>
                <w:rFonts w:hint="eastAsia" w:ascii="仿宋_GB2312" w:hAnsi="仿宋_GB2312" w:eastAsia="仿宋_GB2312" w:cs="仿宋_GB2312"/>
                <w:sz w:val="24"/>
              </w:rPr>
            </w:pPr>
            <w:r>
              <w:rPr>
                <w:rFonts w:hint="eastAsia" w:ascii="仿宋_GB2312" w:hAnsi="仿宋_GB2312" w:eastAsia="仿宋_GB2312" w:cs="仿宋_GB2312"/>
                <w:color w:val="000000"/>
                <w:sz w:val="24"/>
              </w:rPr>
              <w:t>局机关及二级机构汇总</w:t>
            </w:r>
          </w:p>
        </w:tc>
        <w:tc>
          <w:tcPr>
            <w:tcW w:w="1080" w:type="dxa"/>
            <w:tcBorders>
              <w:right w:val="single" w:color="auto" w:sz="4" w:space="0"/>
            </w:tcBorders>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1776.52</w:t>
            </w:r>
          </w:p>
        </w:tc>
        <w:tc>
          <w:tcPr>
            <w:tcW w:w="1355" w:type="dxa"/>
            <w:gridSpan w:val="2"/>
            <w:tcBorders>
              <w:left w:val="single" w:color="auto" w:sz="4" w:space="0"/>
            </w:tcBorders>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1575.04</w:t>
            </w:r>
          </w:p>
        </w:tc>
        <w:tc>
          <w:tcPr>
            <w:tcW w:w="1373" w:type="dxa"/>
            <w:gridSpan w:val="2"/>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1142.30</w:t>
            </w:r>
          </w:p>
        </w:tc>
        <w:tc>
          <w:tcPr>
            <w:tcW w:w="1867" w:type="dxa"/>
            <w:gridSpan w:val="3"/>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432.74</w:t>
            </w:r>
          </w:p>
        </w:tc>
        <w:tc>
          <w:tcPr>
            <w:tcW w:w="1080" w:type="dxa"/>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201.48</w:t>
            </w:r>
          </w:p>
        </w:tc>
        <w:tc>
          <w:tcPr>
            <w:tcW w:w="720" w:type="dxa"/>
            <w:gridSpan w:val="4"/>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625" w:type="dxa"/>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vAlign w:val="center"/>
          </w:tcPr>
          <w:p>
            <w:pPr>
              <w:spacing w:line="32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sz w:val="24"/>
              </w:rPr>
              <w:t>1、局机关</w:t>
            </w:r>
          </w:p>
        </w:tc>
        <w:tc>
          <w:tcPr>
            <w:tcW w:w="1080" w:type="dxa"/>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355" w:type="dxa"/>
            <w:gridSpan w:val="2"/>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373"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867" w:type="dxa"/>
            <w:gridSpan w:val="3"/>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080" w:type="dxa"/>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720" w:type="dxa"/>
            <w:gridSpan w:val="4"/>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625" w:type="dxa"/>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vAlign w:val="center"/>
          </w:tcPr>
          <w:p>
            <w:pPr>
              <w:spacing w:line="32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sz w:val="24"/>
              </w:rPr>
              <w:t>2、二级机构1</w:t>
            </w:r>
          </w:p>
        </w:tc>
        <w:tc>
          <w:tcPr>
            <w:tcW w:w="1080" w:type="dxa"/>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355" w:type="dxa"/>
            <w:gridSpan w:val="2"/>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373"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867" w:type="dxa"/>
            <w:gridSpan w:val="3"/>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080" w:type="dxa"/>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720" w:type="dxa"/>
            <w:gridSpan w:val="4"/>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625" w:type="dxa"/>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vAlign w:val="center"/>
          </w:tcPr>
          <w:p>
            <w:pPr>
              <w:spacing w:line="32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sz w:val="24"/>
              </w:rPr>
              <w:t>3、二级机构2</w:t>
            </w:r>
          </w:p>
        </w:tc>
        <w:tc>
          <w:tcPr>
            <w:tcW w:w="1080" w:type="dxa"/>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355" w:type="dxa"/>
            <w:gridSpan w:val="2"/>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373"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867" w:type="dxa"/>
            <w:gridSpan w:val="3"/>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080" w:type="dxa"/>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720" w:type="dxa"/>
            <w:gridSpan w:val="4"/>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625" w:type="dxa"/>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vMerge w:val="restart"/>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三公经费</w:t>
            </w:r>
          </w:p>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合计</w:t>
            </w:r>
          </w:p>
        </w:tc>
        <w:tc>
          <w:tcPr>
            <w:tcW w:w="7020" w:type="dxa"/>
            <w:gridSpan w:val="13"/>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705" w:hRule="atLeast"/>
          <w:jc w:val="center"/>
        </w:trPr>
        <w:tc>
          <w:tcPr>
            <w:tcW w:w="1700" w:type="dxa"/>
            <w:gridSpan w:val="3"/>
            <w:vMerge w:val="continue"/>
            <w:vAlign w:val="center"/>
          </w:tcPr>
          <w:p>
            <w:pPr>
              <w:spacing w:line="320" w:lineRule="exact"/>
              <w:jc w:val="center"/>
              <w:rPr>
                <w:rFonts w:hint="eastAsia" w:ascii="仿宋_GB2312" w:hAnsi="仿宋_GB2312" w:eastAsia="仿宋_GB2312" w:cs="仿宋_GB2312"/>
                <w:sz w:val="24"/>
              </w:rPr>
            </w:pPr>
          </w:p>
        </w:tc>
        <w:tc>
          <w:tcPr>
            <w:tcW w:w="1080" w:type="dxa"/>
            <w:vMerge w:val="continue"/>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355" w:type="dxa"/>
            <w:gridSpan w:val="2"/>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公务接待费</w:t>
            </w:r>
          </w:p>
        </w:tc>
        <w:tc>
          <w:tcPr>
            <w:tcW w:w="1373"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公务用车运维费</w:t>
            </w:r>
          </w:p>
        </w:tc>
        <w:tc>
          <w:tcPr>
            <w:tcW w:w="1867" w:type="dxa"/>
            <w:gridSpan w:val="3"/>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公务用车购置费</w:t>
            </w:r>
          </w:p>
        </w:tc>
        <w:tc>
          <w:tcPr>
            <w:tcW w:w="2425" w:type="dxa"/>
            <w:gridSpan w:val="6"/>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因公出国费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858" w:hRule="atLeast"/>
          <w:jc w:val="center"/>
        </w:trPr>
        <w:tc>
          <w:tcPr>
            <w:tcW w:w="1700" w:type="dxa"/>
            <w:gridSpan w:val="3"/>
            <w:vAlign w:val="center"/>
          </w:tcPr>
          <w:p>
            <w:pPr>
              <w:spacing w:line="320" w:lineRule="exact"/>
              <w:jc w:val="left"/>
              <w:rPr>
                <w:rFonts w:hint="eastAsia" w:ascii="仿宋_GB2312" w:hAnsi="仿宋_GB2312" w:eastAsia="仿宋_GB2312" w:cs="仿宋_GB2312"/>
                <w:sz w:val="24"/>
              </w:rPr>
            </w:pPr>
            <w:r>
              <w:rPr>
                <w:rFonts w:hint="eastAsia" w:ascii="仿宋_GB2312" w:hAnsi="仿宋_GB2312" w:eastAsia="仿宋_GB2312" w:cs="仿宋_GB2312"/>
                <w:color w:val="000000"/>
                <w:sz w:val="24"/>
              </w:rPr>
              <w:t>局机关及二级机构汇总</w:t>
            </w:r>
          </w:p>
        </w:tc>
        <w:tc>
          <w:tcPr>
            <w:tcW w:w="1080" w:type="dxa"/>
            <w:tcBorders>
              <w:right w:val="single" w:color="auto" w:sz="4" w:space="0"/>
            </w:tcBorders>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23.5</w:t>
            </w:r>
          </w:p>
        </w:tc>
        <w:tc>
          <w:tcPr>
            <w:tcW w:w="1355" w:type="dxa"/>
            <w:gridSpan w:val="2"/>
            <w:tcBorders>
              <w:left w:val="single" w:color="auto" w:sz="4" w:space="0"/>
            </w:tcBorders>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5.89</w:t>
            </w:r>
          </w:p>
        </w:tc>
        <w:tc>
          <w:tcPr>
            <w:tcW w:w="1373" w:type="dxa"/>
            <w:gridSpan w:val="2"/>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17.61</w:t>
            </w:r>
          </w:p>
        </w:tc>
        <w:tc>
          <w:tcPr>
            <w:tcW w:w="1867" w:type="dxa"/>
            <w:gridSpan w:val="3"/>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2425" w:type="dxa"/>
            <w:gridSpan w:val="6"/>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vAlign w:val="center"/>
          </w:tcPr>
          <w:p>
            <w:pPr>
              <w:spacing w:line="320" w:lineRule="exact"/>
              <w:jc w:val="left"/>
              <w:rPr>
                <w:rFonts w:hint="eastAsia" w:ascii="仿宋_GB2312" w:hAnsi="仿宋_GB2312" w:eastAsia="仿宋_GB2312" w:cs="仿宋_GB2312"/>
                <w:sz w:val="24"/>
              </w:rPr>
            </w:pPr>
            <w:r>
              <w:rPr>
                <w:rFonts w:hint="eastAsia" w:ascii="仿宋_GB2312" w:hAnsi="仿宋_GB2312" w:eastAsia="仿宋_GB2312" w:cs="仿宋_GB2312"/>
                <w:sz w:val="24"/>
              </w:rPr>
              <w:t>1、局机关</w:t>
            </w:r>
          </w:p>
        </w:tc>
        <w:tc>
          <w:tcPr>
            <w:tcW w:w="1080" w:type="dxa"/>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355" w:type="dxa"/>
            <w:gridSpan w:val="2"/>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373"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867" w:type="dxa"/>
            <w:gridSpan w:val="3"/>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2425" w:type="dxa"/>
            <w:gridSpan w:val="6"/>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49" w:hRule="atLeast"/>
          <w:jc w:val="center"/>
        </w:trPr>
        <w:tc>
          <w:tcPr>
            <w:tcW w:w="1700" w:type="dxa"/>
            <w:gridSpan w:val="3"/>
            <w:vAlign w:val="center"/>
          </w:tcPr>
          <w:p>
            <w:pPr>
              <w:spacing w:line="320" w:lineRule="exact"/>
              <w:jc w:val="left"/>
              <w:rPr>
                <w:rFonts w:hint="eastAsia" w:ascii="仿宋_GB2312" w:hAnsi="仿宋_GB2312" w:eastAsia="仿宋_GB2312" w:cs="仿宋_GB2312"/>
                <w:sz w:val="24"/>
              </w:rPr>
            </w:pPr>
            <w:r>
              <w:rPr>
                <w:rFonts w:hint="eastAsia" w:ascii="仿宋_GB2312" w:hAnsi="仿宋_GB2312" w:eastAsia="仿宋_GB2312" w:cs="仿宋_GB2312"/>
                <w:sz w:val="24"/>
              </w:rPr>
              <w:t>2、二级机构1</w:t>
            </w:r>
          </w:p>
        </w:tc>
        <w:tc>
          <w:tcPr>
            <w:tcW w:w="1080" w:type="dxa"/>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355" w:type="dxa"/>
            <w:gridSpan w:val="2"/>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373"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867" w:type="dxa"/>
            <w:gridSpan w:val="3"/>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2425" w:type="dxa"/>
            <w:gridSpan w:val="6"/>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89" w:hRule="atLeast"/>
          <w:jc w:val="center"/>
        </w:trPr>
        <w:tc>
          <w:tcPr>
            <w:tcW w:w="1700" w:type="dxa"/>
            <w:gridSpan w:val="3"/>
            <w:vAlign w:val="center"/>
          </w:tcPr>
          <w:p>
            <w:pPr>
              <w:spacing w:line="320" w:lineRule="exact"/>
              <w:jc w:val="left"/>
              <w:rPr>
                <w:rFonts w:hint="eastAsia" w:ascii="仿宋_GB2312" w:hAnsi="仿宋_GB2312" w:eastAsia="仿宋_GB2312" w:cs="仿宋_GB2312"/>
                <w:sz w:val="24"/>
              </w:rPr>
            </w:pPr>
            <w:r>
              <w:rPr>
                <w:rFonts w:hint="eastAsia" w:ascii="仿宋_GB2312" w:hAnsi="仿宋_GB2312" w:eastAsia="仿宋_GB2312" w:cs="仿宋_GB2312"/>
                <w:sz w:val="24"/>
              </w:rPr>
              <w:t>3、二级机构2</w:t>
            </w:r>
          </w:p>
        </w:tc>
        <w:tc>
          <w:tcPr>
            <w:tcW w:w="1080" w:type="dxa"/>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355" w:type="dxa"/>
            <w:gridSpan w:val="2"/>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373"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867" w:type="dxa"/>
            <w:gridSpan w:val="3"/>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2425" w:type="dxa"/>
            <w:gridSpan w:val="6"/>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64" w:hRule="atLeast"/>
          <w:jc w:val="center"/>
        </w:trPr>
        <w:tc>
          <w:tcPr>
            <w:tcW w:w="1700" w:type="dxa"/>
            <w:gridSpan w:val="3"/>
            <w:vMerge w:val="restart"/>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固定资产</w:t>
            </w:r>
          </w:p>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合计</w:t>
            </w:r>
          </w:p>
        </w:tc>
        <w:tc>
          <w:tcPr>
            <w:tcW w:w="6079" w:type="dxa"/>
            <w:gridSpan w:val="11"/>
            <w:tcBorders>
              <w:left w:val="single" w:color="auto" w:sz="4" w:space="0"/>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941" w:type="dxa"/>
            <w:gridSpan w:val="2"/>
            <w:vMerge w:val="restart"/>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54" w:hRule="atLeast"/>
          <w:jc w:val="center"/>
        </w:trPr>
        <w:tc>
          <w:tcPr>
            <w:tcW w:w="1700" w:type="dxa"/>
            <w:gridSpan w:val="3"/>
            <w:vMerge w:val="continue"/>
            <w:vAlign w:val="center"/>
          </w:tcPr>
          <w:p>
            <w:pPr>
              <w:spacing w:line="320" w:lineRule="exact"/>
              <w:jc w:val="center"/>
              <w:rPr>
                <w:rFonts w:hint="eastAsia" w:ascii="仿宋_GB2312" w:hAnsi="仿宋_GB2312" w:eastAsia="仿宋_GB2312" w:cs="仿宋_GB2312"/>
                <w:sz w:val="24"/>
              </w:rPr>
            </w:pPr>
          </w:p>
        </w:tc>
        <w:tc>
          <w:tcPr>
            <w:tcW w:w="1080" w:type="dxa"/>
            <w:vMerge w:val="continue"/>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2728" w:type="dxa"/>
            <w:gridSpan w:val="4"/>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在用固定资产</w:t>
            </w:r>
          </w:p>
        </w:tc>
        <w:tc>
          <w:tcPr>
            <w:tcW w:w="3351" w:type="dxa"/>
            <w:gridSpan w:val="7"/>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出租固定资产</w:t>
            </w:r>
          </w:p>
        </w:tc>
        <w:tc>
          <w:tcPr>
            <w:tcW w:w="941" w:type="dxa"/>
            <w:gridSpan w:val="2"/>
            <w:vMerge w:val="continue"/>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790" w:hRule="atLeast"/>
          <w:jc w:val="center"/>
        </w:trPr>
        <w:tc>
          <w:tcPr>
            <w:tcW w:w="1700" w:type="dxa"/>
            <w:gridSpan w:val="3"/>
            <w:vAlign w:val="center"/>
          </w:tcPr>
          <w:p>
            <w:pPr>
              <w:spacing w:line="320" w:lineRule="exact"/>
              <w:jc w:val="left"/>
              <w:rPr>
                <w:rFonts w:hint="eastAsia" w:ascii="仿宋_GB2312" w:hAnsi="仿宋_GB2312" w:eastAsia="仿宋_GB2312" w:cs="仿宋_GB2312"/>
                <w:sz w:val="24"/>
              </w:rPr>
            </w:pPr>
            <w:r>
              <w:rPr>
                <w:rFonts w:hint="eastAsia" w:ascii="仿宋_GB2312" w:hAnsi="仿宋_GB2312" w:eastAsia="仿宋_GB2312" w:cs="仿宋_GB2312"/>
                <w:color w:val="000000"/>
                <w:sz w:val="24"/>
              </w:rPr>
              <w:t>局机关及二级机构汇总</w:t>
            </w:r>
          </w:p>
        </w:tc>
        <w:tc>
          <w:tcPr>
            <w:tcW w:w="1080" w:type="dxa"/>
            <w:tcBorders>
              <w:right w:val="single" w:color="auto" w:sz="4" w:space="0"/>
            </w:tcBorders>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948.87</w:t>
            </w:r>
          </w:p>
        </w:tc>
        <w:tc>
          <w:tcPr>
            <w:tcW w:w="2728" w:type="dxa"/>
            <w:gridSpan w:val="4"/>
            <w:tcBorders>
              <w:left w:val="single" w:color="auto" w:sz="4" w:space="0"/>
            </w:tcBorders>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948.87</w:t>
            </w:r>
          </w:p>
        </w:tc>
        <w:tc>
          <w:tcPr>
            <w:tcW w:w="3351" w:type="dxa"/>
            <w:gridSpan w:val="7"/>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941"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59" w:hRule="atLeast"/>
          <w:jc w:val="center"/>
        </w:trPr>
        <w:tc>
          <w:tcPr>
            <w:tcW w:w="1700" w:type="dxa"/>
            <w:gridSpan w:val="3"/>
            <w:vAlign w:val="center"/>
          </w:tcPr>
          <w:p>
            <w:pPr>
              <w:spacing w:line="320" w:lineRule="exact"/>
              <w:jc w:val="left"/>
              <w:rPr>
                <w:rFonts w:hint="eastAsia" w:ascii="仿宋_GB2312" w:hAnsi="仿宋_GB2312" w:eastAsia="仿宋_GB2312" w:cs="仿宋_GB2312"/>
                <w:sz w:val="24"/>
              </w:rPr>
            </w:pPr>
            <w:r>
              <w:rPr>
                <w:rFonts w:hint="eastAsia" w:ascii="仿宋_GB2312" w:hAnsi="仿宋_GB2312" w:eastAsia="仿宋_GB2312" w:cs="仿宋_GB2312"/>
                <w:sz w:val="24"/>
              </w:rPr>
              <w:t>1、局机关</w:t>
            </w:r>
          </w:p>
        </w:tc>
        <w:tc>
          <w:tcPr>
            <w:tcW w:w="1080" w:type="dxa"/>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2728" w:type="dxa"/>
            <w:gridSpan w:val="4"/>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3351" w:type="dxa"/>
            <w:gridSpan w:val="7"/>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941"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69" w:hRule="atLeast"/>
          <w:jc w:val="center"/>
        </w:trPr>
        <w:tc>
          <w:tcPr>
            <w:tcW w:w="1700" w:type="dxa"/>
            <w:gridSpan w:val="3"/>
            <w:vAlign w:val="center"/>
          </w:tcPr>
          <w:p>
            <w:pPr>
              <w:spacing w:line="320" w:lineRule="exact"/>
              <w:jc w:val="left"/>
              <w:rPr>
                <w:rFonts w:hint="eastAsia" w:ascii="仿宋_GB2312" w:hAnsi="仿宋_GB2312" w:eastAsia="仿宋_GB2312" w:cs="仿宋_GB2312"/>
                <w:sz w:val="24"/>
              </w:rPr>
            </w:pPr>
            <w:r>
              <w:rPr>
                <w:rFonts w:hint="eastAsia" w:ascii="仿宋_GB2312" w:hAnsi="仿宋_GB2312" w:eastAsia="仿宋_GB2312" w:cs="仿宋_GB2312"/>
                <w:sz w:val="24"/>
              </w:rPr>
              <w:t>2、二级机构1</w:t>
            </w:r>
          </w:p>
        </w:tc>
        <w:tc>
          <w:tcPr>
            <w:tcW w:w="1080" w:type="dxa"/>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2728" w:type="dxa"/>
            <w:gridSpan w:val="4"/>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3351" w:type="dxa"/>
            <w:gridSpan w:val="7"/>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941"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34" w:hRule="atLeast"/>
          <w:jc w:val="center"/>
        </w:trPr>
        <w:tc>
          <w:tcPr>
            <w:tcW w:w="1700" w:type="dxa"/>
            <w:gridSpan w:val="3"/>
            <w:vAlign w:val="center"/>
          </w:tcPr>
          <w:p>
            <w:pPr>
              <w:spacing w:line="320" w:lineRule="exact"/>
              <w:jc w:val="left"/>
              <w:rPr>
                <w:rFonts w:hint="eastAsia" w:ascii="仿宋_GB2312" w:hAnsi="仿宋_GB2312" w:eastAsia="仿宋_GB2312" w:cs="仿宋_GB2312"/>
                <w:sz w:val="24"/>
              </w:rPr>
            </w:pPr>
            <w:r>
              <w:rPr>
                <w:rFonts w:hint="eastAsia" w:ascii="仿宋_GB2312" w:hAnsi="仿宋_GB2312" w:eastAsia="仿宋_GB2312" w:cs="仿宋_GB2312"/>
                <w:sz w:val="24"/>
              </w:rPr>
              <w:t>3、二级机构2</w:t>
            </w:r>
          </w:p>
        </w:tc>
        <w:tc>
          <w:tcPr>
            <w:tcW w:w="1080" w:type="dxa"/>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2728" w:type="dxa"/>
            <w:gridSpan w:val="4"/>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3351" w:type="dxa"/>
            <w:gridSpan w:val="7"/>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941"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9800" w:type="dxa"/>
            <w:gridSpan w:val="17"/>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黑体" w:hAnsi="黑体" w:eastAsia="黑体" w:cs="黑体"/>
                <w:color w:val="000000"/>
                <w:sz w:val="28"/>
                <w:szCs w:val="28"/>
              </w:rPr>
              <w:t>三、部门（单位）整体支出绩效自评情况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1441" w:type="dxa"/>
            <w:vMerge w:val="restart"/>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整体支出绩效定性目标及实施计划完成情况</w:t>
            </w:r>
          </w:p>
        </w:tc>
        <w:tc>
          <w:tcPr>
            <w:tcW w:w="4067" w:type="dxa"/>
            <w:gridSpan w:val="7"/>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预期目标</w:t>
            </w:r>
          </w:p>
        </w:tc>
        <w:tc>
          <w:tcPr>
            <w:tcW w:w="4292" w:type="dxa"/>
            <w:gridSpan w:val="9"/>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实际完成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172" w:hRule="atLeast"/>
          <w:jc w:val="center"/>
        </w:trPr>
        <w:tc>
          <w:tcPr>
            <w:tcW w:w="1441" w:type="dxa"/>
            <w:vMerge w:val="continue"/>
            <w:vAlign w:val="center"/>
          </w:tcPr>
          <w:p>
            <w:pPr>
              <w:spacing w:line="320" w:lineRule="exact"/>
              <w:rPr>
                <w:rFonts w:hint="eastAsia" w:ascii="仿宋_GB2312" w:hAnsi="仿宋_GB2312" w:eastAsia="仿宋_GB2312" w:cs="仿宋_GB2312"/>
                <w:sz w:val="24"/>
              </w:rPr>
            </w:pPr>
          </w:p>
        </w:tc>
        <w:tc>
          <w:tcPr>
            <w:tcW w:w="4067" w:type="dxa"/>
            <w:gridSpan w:val="7"/>
            <w:vAlign w:val="center"/>
          </w:tcPr>
          <w:p>
            <w:pPr>
              <w:autoSpaceDN w:val="0"/>
              <w:spacing w:line="400" w:lineRule="exact"/>
              <w:jc w:val="left"/>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目标1：实现服务监管</w:t>
            </w:r>
            <w:r>
              <w:rPr>
                <w:rFonts w:hint="eastAsia" w:ascii="仿宋_GB2312" w:hAnsi="仿宋_GB2312" w:eastAsia="仿宋_GB2312" w:cs="仿宋_GB2312"/>
                <w:bCs/>
                <w:sz w:val="21"/>
                <w:szCs w:val="21"/>
                <w:lang w:val="en-US" w:eastAsia="zh-CN"/>
              </w:rPr>
              <w:t>食品生产、经营单位1573家，药品、医疗器械生产、经营单位207户家。</w:t>
            </w:r>
          </w:p>
          <w:p>
            <w:pPr>
              <w:autoSpaceDN w:val="0"/>
              <w:spacing w:line="400" w:lineRule="exact"/>
              <w:jc w:val="left"/>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目标2：食品、保健品、化妆品、药品、医疗器械抽验</w:t>
            </w:r>
            <w:r>
              <w:rPr>
                <w:rFonts w:hint="eastAsia" w:ascii="仿宋_GB2312" w:hAnsi="仿宋_GB2312" w:eastAsia="仿宋_GB2312" w:cs="仿宋_GB2312"/>
                <w:sz w:val="21"/>
                <w:szCs w:val="21"/>
                <w:lang w:val="en-US" w:eastAsia="zh-CN"/>
              </w:rPr>
              <w:t>1000</w:t>
            </w:r>
            <w:r>
              <w:rPr>
                <w:rFonts w:hint="eastAsia" w:ascii="仿宋_GB2312" w:hAnsi="仿宋_GB2312" w:eastAsia="仿宋_GB2312" w:cs="仿宋_GB2312"/>
                <w:sz w:val="21"/>
                <w:szCs w:val="21"/>
              </w:rPr>
              <w:t>批次。</w:t>
            </w:r>
          </w:p>
          <w:p>
            <w:pPr>
              <w:autoSpaceDN w:val="0"/>
              <w:spacing w:line="32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sz w:val="21"/>
                <w:szCs w:val="21"/>
              </w:rPr>
              <w:t>目标3：监管覆盖率100%，违法案件查处率100%，药品、医疗器械不良反应上报率100%</w:t>
            </w:r>
          </w:p>
        </w:tc>
        <w:tc>
          <w:tcPr>
            <w:tcW w:w="4292" w:type="dxa"/>
            <w:gridSpan w:val="9"/>
            <w:vAlign w:val="center"/>
          </w:tcPr>
          <w:p>
            <w:pPr>
              <w:autoSpaceDN w:val="0"/>
              <w:spacing w:line="400" w:lineRule="exact"/>
              <w:jc w:val="left"/>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目标</w:t>
            </w:r>
            <w:r>
              <w:rPr>
                <w:rFonts w:hint="eastAsia" w:ascii="仿宋_GB2312" w:hAnsi="仿宋_GB2312" w:eastAsia="仿宋_GB2312" w:cs="仿宋_GB2312"/>
                <w:sz w:val="21"/>
                <w:szCs w:val="21"/>
                <w:lang w:val="en-US" w:eastAsia="zh-CN"/>
              </w:rPr>
              <w:t>1</w:t>
            </w:r>
            <w:r>
              <w:rPr>
                <w:rFonts w:hint="eastAsia" w:ascii="仿宋_GB2312" w:hAnsi="仿宋_GB2312" w:eastAsia="仿宋_GB2312" w:cs="仿宋_GB2312"/>
                <w:sz w:val="21"/>
                <w:szCs w:val="21"/>
              </w:rPr>
              <w:t>：实现服务监管</w:t>
            </w:r>
            <w:r>
              <w:rPr>
                <w:rFonts w:hint="eastAsia" w:ascii="仿宋_GB2312" w:hAnsi="仿宋_GB2312" w:eastAsia="仿宋_GB2312" w:cs="仿宋_GB2312"/>
                <w:bCs/>
                <w:sz w:val="21"/>
                <w:szCs w:val="21"/>
                <w:lang w:val="en-US" w:eastAsia="zh-CN"/>
              </w:rPr>
              <w:t>食品生产、经营单位1573家，药品、医疗器械生产、经营单位207户家。</w:t>
            </w:r>
          </w:p>
          <w:p>
            <w:pPr>
              <w:autoSpaceDN w:val="0"/>
              <w:spacing w:line="400" w:lineRule="exact"/>
              <w:jc w:val="left"/>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目标2：食品、保健品、化妆品、药品、医疗器械抽验</w:t>
            </w:r>
            <w:r>
              <w:rPr>
                <w:rFonts w:hint="eastAsia" w:ascii="仿宋_GB2312" w:hAnsi="仿宋_GB2312" w:eastAsia="仿宋_GB2312" w:cs="仿宋_GB2312"/>
                <w:sz w:val="21"/>
                <w:szCs w:val="21"/>
                <w:lang w:val="en-US" w:eastAsia="zh-CN"/>
              </w:rPr>
              <w:t>1000</w:t>
            </w:r>
            <w:r>
              <w:rPr>
                <w:rFonts w:hint="eastAsia" w:ascii="仿宋_GB2312" w:hAnsi="仿宋_GB2312" w:eastAsia="仿宋_GB2312" w:cs="仿宋_GB2312"/>
                <w:sz w:val="21"/>
                <w:szCs w:val="21"/>
              </w:rPr>
              <w:t>批次。</w:t>
            </w:r>
          </w:p>
          <w:p>
            <w:pPr>
              <w:autoSpaceDN w:val="0"/>
              <w:spacing w:line="320" w:lineRule="exact"/>
              <w:jc w:val="both"/>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sz w:val="21"/>
                <w:szCs w:val="21"/>
              </w:rPr>
              <w:t>目标3：监管覆盖率100%，违法案件查处率100%，药品、医疗器械不良反应上报率100%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1441" w:type="dxa"/>
            <w:vMerge w:val="restart"/>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整体支出</w:t>
            </w:r>
          </w:p>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绩效定量目标及实施计划完成情况</w:t>
            </w:r>
          </w:p>
        </w:tc>
        <w:tc>
          <w:tcPr>
            <w:tcW w:w="2966" w:type="dxa"/>
            <w:gridSpan w:val="6"/>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评价内容</w:t>
            </w:r>
          </w:p>
        </w:tc>
        <w:tc>
          <w:tcPr>
            <w:tcW w:w="4153" w:type="dxa"/>
            <w:gridSpan w:val="6"/>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绩效目标</w:t>
            </w:r>
          </w:p>
        </w:tc>
        <w:tc>
          <w:tcPr>
            <w:tcW w:w="1240" w:type="dxa"/>
            <w:gridSpan w:val="4"/>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54" w:hRule="atLeast"/>
          <w:jc w:val="center"/>
        </w:trPr>
        <w:tc>
          <w:tcPr>
            <w:tcW w:w="1441" w:type="dxa"/>
            <w:vMerge w:val="continue"/>
            <w:vAlign w:val="center"/>
          </w:tcPr>
          <w:p>
            <w:pPr>
              <w:spacing w:line="320" w:lineRule="exact"/>
              <w:rPr>
                <w:rFonts w:hint="eastAsia" w:ascii="仿宋_GB2312" w:hAnsi="仿宋_GB2312" w:eastAsia="仿宋_GB2312" w:cs="仿宋_GB2312"/>
                <w:sz w:val="24"/>
              </w:rPr>
            </w:pPr>
          </w:p>
        </w:tc>
        <w:tc>
          <w:tcPr>
            <w:tcW w:w="1549" w:type="dxa"/>
            <w:gridSpan w:val="4"/>
            <w:vMerge w:val="restart"/>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产出目标</w:t>
            </w:r>
          </w:p>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（部门工作实绩，包含上级部门和市委市政府布置的重点工作、实事任务等，根据部门实际进行调整细化）</w:t>
            </w:r>
          </w:p>
        </w:tc>
        <w:tc>
          <w:tcPr>
            <w:tcW w:w="1417" w:type="dxa"/>
            <w:gridSpan w:val="2"/>
            <w:vMerge w:val="restart"/>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质量指标</w:t>
            </w:r>
          </w:p>
        </w:tc>
        <w:tc>
          <w:tcPr>
            <w:tcW w:w="4153" w:type="dxa"/>
            <w:gridSpan w:val="6"/>
            <w:vAlign w:val="center"/>
          </w:tcPr>
          <w:p>
            <w:pPr>
              <w:autoSpaceDN w:val="0"/>
              <w:spacing w:line="400" w:lineRule="exact"/>
              <w:jc w:val="left"/>
              <w:textAlignment w:val="center"/>
              <w:rPr>
                <w:rFonts w:hint="eastAsia" w:ascii="仿宋_GB2312" w:hAnsi="仿宋_GB2312" w:eastAsia="仿宋_GB2312" w:cs="仿宋_GB2312"/>
                <w:b w:val="0"/>
                <w:bCs w:val="0"/>
                <w:color w:val="000000"/>
                <w:kern w:val="2"/>
                <w:sz w:val="21"/>
                <w:szCs w:val="21"/>
                <w:lang w:val="en-US" w:eastAsia="zh-CN" w:bidi="ar-SA"/>
              </w:rPr>
            </w:pPr>
            <w:r>
              <w:rPr>
                <w:rFonts w:hint="eastAsia" w:ascii="仿宋_GB2312" w:hAnsi="仿宋_GB2312" w:eastAsia="仿宋_GB2312" w:cs="仿宋_GB2312"/>
                <w:b w:val="0"/>
                <w:bCs w:val="0"/>
                <w:color w:val="000000"/>
                <w:sz w:val="21"/>
                <w:szCs w:val="21"/>
              </w:rPr>
              <w:t>指标1：全区“四品一械“安全形势稳定向好</w:t>
            </w:r>
          </w:p>
        </w:tc>
        <w:tc>
          <w:tcPr>
            <w:tcW w:w="1240" w:type="dxa"/>
            <w:gridSpan w:val="4"/>
            <w:vMerge w:val="restart"/>
            <w:vAlign w:val="center"/>
          </w:tcPr>
          <w:p>
            <w:pPr>
              <w:autoSpaceDN w:val="0"/>
              <w:spacing w:line="320" w:lineRule="exact"/>
              <w:jc w:val="center"/>
              <w:textAlignment w:val="center"/>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color w:val="000000"/>
                <w:sz w:val="21"/>
                <w:szCs w:val="21"/>
              </w:rPr>
              <w:t>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54" w:hRule="atLeast"/>
          <w:jc w:val="center"/>
        </w:trPr>
        <w:tc>
          <w:tcPr>
            <w:tcW w:w="1441" w:type="dxa"/>
            <w:vMerge w:val="continue"/>
            <w:vAlign w:val="center"/>
          </w:tcPr>
          <w:p>
            <w:pPr>
              <w:spacing w:line="320" w:lineRule="exact"/>
              <w:rPr>
                <w:rFonts w:hint="eastAsia" w:ascii="仿宋_GB2312" w:hAnsi="仿宋_GB2312" w:eastAsia="仿宋_GB2312" w:cs="仿宋_GB2312"/>
                <w:sz w:val="24"/>
              </w:rPr>
            </w:pPr>
          </w:p>
        </w:tc>
        <w:tc>
          <w:tcPr>
            <w:tcW w:w="1549" w:type="dxa"/>
            <w:gridSpan w:val="4"/>
            <w:vMerge w:val="continue"/>
            <w:vAlign w:val="center"/>
          </w:tcPr>
          <w:p>
            <w:pPr>
              <w:autoSpaceDN w:val="0"/>
              <w:spacing w:line="320" w:lineRule="exact"/>
              <w:rPr>
                <w:rFonts w:hint="eastAsia" w:ascii="仿宋_GB2312" w:hAnsi="仿宋_GB2312" w:eastAsia="仿宋_GB2312" w:cs="仿宋_GB2312"/>
                <w:sz w:val="24"/>
              </w:rPr>
            </w:pPr>
          </w:p>
        </w:tc>
        <w:tc>
          <w:tcPr>
            <w:tcW w:w="1417" w:type="dxa"/>
            <w:gridSpan w:val="2"/>
            <w:vMerge w:val="continue"/>
            <w:vAlign w:val="center"/>
          </w:tcPr>
          <w:p>
            <w:pPr>
              <w:spacing w:line="320" w:lineRule="exact"/>
              <w:rPr>
                <w:rFonts w:hint="eastAsia" w:ascii="仿宋_GB2312" w:hAnsi="仿宋_GB2312" w:eastAsia="仿宋_GB2312" w:cs="仿宋_GB2312"/>
                <w:sz w:val="24"/>
              </w:rPr>
            </w:pPr>
          </w:p>
        </w:tc>
        <w:tc>
          <w:tcPr>
            <w:tcW w:w="4153" w:type="dxa"/>
            <w:gridSpan w:val="6"/>
            <w:vAlign w:val="center"/>
          </w:tcPr>
          <w:p>
            <w:pPr>
              <w:autoSpaceDN w:val="0"/>
              <w:spacing w:line="400" w:lineRule="exact"/>
              <w:jc w:val="left"/>
              <w:textAlignment w:val="center"/>
              <w:rPr>
                <w:rFonts w:hint="eastAsia" w:ascii="仿宋_GB2312" w:hAnsi="仿宋_GB2312" w:eastAsia="仿宋_GB2312" w:cs="仿宋_GB2312"/>
                <w:b w:val="0"/>
                <w:bCs w:val="0"/>
                <w:color w:val="000000"/>
                <w:kern w:val="2"/>
                <w:sz w:val="21"/>
                <w:szCs w:val="21"/>
                <w:lang w:val="en-US" w:eastAsia="zh-CN" w:bidi="ar-SA"/>
              </w:rPr>
            </w:pPr>
            <w:r>
              <w:rPr>
                <w:rFonts w:hint="eastAsia" w:ascii="仿宋_GB2312" w:hAnsi="仿宋_GB2312" w:eastAsia="仿宋_GB2312" w:cs="仿宋_GB2312"/>
                <w:b w:val="0"/>
                <w:bCs w:val="0"/>
                <w:color w:val="000000"/>
                <w:sz w:val="21"/>
                <w:szCs w:val="21"/>
              </w:rPr>
              <w:t>指标2：无重大安全责任事故</w:t>
            </w:r>
          </w:p>
        </w:tc>
        <w:tc>
          <w:tcPr>
            <w:tcW w:w="1240" w:type="dxa"/>
            <w:gridSpan w:val="4"/>
            <w:vMerge w:val="continue"/>
            <w:vAlign w:val="center"/>
          </w:tcPr>
          <w:p>
            <w:pPr>
              <w:autoSpaceDN w:val="0"/>
              <w:spacing w:line="320" w:lineRule="exact"/>
              <w:jc w:val="center"/>
              <w:textAlignment w:val="center"/>
              <w:rPr>
                <w:rFonts w:hint="eastAsia" w:ascii="仿宋_GB2312" w:hAnsi="仿宋_GB2312" w:eastAsia="仿宋_GB2312" w:cs="仿宋_GB2312"/>
                <w:b w:val="0"/>
                <w:bCs w:val="0"/>
                <w:color w:val="0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54" w:hRule="atLeast"/>
          <w:jc w:val="center"/>
        </w:trPr>
        <w:tc>
          <w:tcPr>
            <w:tcW w:w="1441" w:type="dxa"/>
            <w:vMerge w:val="continue"/>
            <w:vAlign w:val="center"/>
          </w:tcPr>
          <w:p>
            <w:pPr>
              <w:spacing w:line="320" w:lineRule="exact"/>
              <w:rPr>
                <w:rFonts w:hint="eastAsia" w:ascii="仿宋_GB2312" w:hAnsi="仿宋_GB2312" w:eastAsia="仿宋_GB2312" w:cs="仿宋_GB2312"/>
                <w:sz w:val="24"/>
              </w:rPr>
            </w:pPr>
          </w:p>
        </w:tc>
        <w:tc>
          <w:tcPr>
            <w:tcW w:w="1549" w:type="dxa"/>
            <w:gridSpan w:val="4"/>
            <w:vMerge w:val="continue"/>
            <w:vAlign w:val="center"/>
          </w:tcPr>
          <w:p>
            <w:pPr>
              <w:autoSpaceDN w:val="0"/>
              <w:spacing w:line="320" w:lineRule="exact"/>
              <w:rPr>
                <w:rFonts w:hint="eastAsia" w:ascii="仿宋_GB2312" w:hAnsi="仿宋_GB2312" w:eastAsia="仿宋_GB2312" w:cs="仿宋_GB2312"/>
                <w:sz w:val="24"/>
              </w:rPr>
            </w:pPr>
          </w:p>
        </w:tc>
        <w:tc>
          <w:tcPr>
            <w:tcW w:w="1417" w:type="dxa"/>
            <w:gridSpan w:val="2"/>
            <w:vMerge w:val="continue"/>
            <w:vAlign w:val="center"/>
          </w:tcPr>
          <w:p>
            <w:pPr>
              <w:spacing w:line="320" w:lineRule="exact"/>
              <w:rPr>
                <w:rFonts w:hint="eastAsia" w:ascii="仿宋_GB2312" w:hAnsi="仿宋_GB2312" w:eastAsia="仿宋_GB2312" w:cs="仿宋_GB2312"/>
                <w:sz w:val="24"/>
              </w:rPr>
            </w:pPr>
          </w:p>
        </w:tc>
        <w:tc>
          <w:tcPr>
            <w:tcW w:w="4153" w:type="dxa"/>
            <w:gridSpan w:val="6"/>
            <w:vAlign w:val="center"/>
          </w:tcPr>
          <w:p>
            <w:pPr>
              <w:autoSpaceDN w:val="0"/>
              <w:spacing w:line="400" w:lineRule="exact"/>
              <w:jc w:val="left"/>
              <w:textAlignment w:val="center"/>
              <w:rPr>
                <w:rFonts w:hint="eastAsia" w:ascii="仿宋_GB2312" w:hAnsi="仿宋_GB2312" w:eastAsia="仿宋_GB2312" w:cs="仿宋_GB2312"/>
                <w:b w:val="0"/>
                <w:bCs w:val="0"/>
                <w:color w:val="000000"/>
                <w:kern w:val="2"/>
                <w:sz w:val="21"/>
                <w:szCs w:val="21"/>
                <w:lang w:val="en-US" w:eastAsia="zh-CN" w:bidi="ar-SA"/>
              </w:rPr>
            </w:pPr>
            <w:r>
              <w:rPr>
                <w:rFonts w:hint="eastAsia" w:ascii="仿宋_GB2312" w:hAnsi="仿宋_GB2312" w:eastAsia="仿宋_GB2312" w:cs="仿宋_GB2312"/>
                <w:b w:val="0"/>
                <w:bCs w:val="0"/>
                <w:color w:val="000000"/>
                <w:sz w:val="21"/>
                <w:szCs w:val="21"/>
              </w:rPr>
              <w:t>指标3：监管能力大幅提升</w:t>
            </w:r>
          </w:p>
        </w:tc>
        <w:tc>
          <w:tcPr>
            <w:tcW w:w="1240" w:type="dxa"/>
            <w:gridSpan w:val="4"/>
            <w:vMerge w:val="continue"/>
            <w:vAlign w:val="center"/>
          </w:tcPr>
          <w:p>
            <w:pPr>
              <w:autoSpaceDN w:val="0"/>
              <w:spacing w:line="320" w:lineRule="exact"/>
              <w:jc w:val="center"/>
              <w:textAlignment w:val="center"/>
              <w:rPr>
                <w:rFonts w:hint="eastAsia" w:ascii="仿宋_GB2312" w:hAnsi="仿宋_GB2312" w:eastAsia="仿宋_GB2312" w:cs="仿宋_GB2312"/>
                <w:b w:val="0"/>
                <w:bCs w:val="0"/>
                <w:color w:val="0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54" w:hRule="atLeast"/>
          <w:jc w:val="center"/>
        </w:trPr>
        <w:tc>
          <w:tcPr>
            <w:tcW w:w="1441" w:type="dxa"/>
            <w:vMerge w:val="continue"/>
            <w:vAlign w:val="center"/>
          </w:tcPr>
          <w:p>
            <w:pPr>
              <w:spacing w:line="320" w:lineRule="exact"/>
              <w:rPr>
                <w:rFonts w:hint="eastAsia" w:ascii="仿宋_GB2312" w:hAnsi="仿宋_GB2312" w:eastAsia="仿宋_GB2312" w:cs="仿宋_GB2312"/>
                <w:sz w:val="24"/>
              </w:rPr>
            </w:pPr>
          </w:p>
        </w:tc>
        <w:tc>
          <w:tcPr>
            <w:tcW w:w="1549" w:type="dxa"/>
            <w:gridSpan w:val="4"/>
            <w:vMerge w:val="continue"/>
            <w:vAlign w:val="center"/>
          </w:tcPr>
          <w:p>
            <w:pPr>
              <w:autoSpaceDN w:val="0"/>
              <w:spacing w:line="320" w:lineRule="exact"/>
              <w:rPr>
                <w:rFonts w:hint="eastAsia" w:ascii="仿宋_GB2312" w:hAnsi="仿宋_GB2312" w:eastAsia="仿宋_GB2312" w:cs="仿宋_GB2312"/>
                <w:sz w:val="24"/>
              </w:rPr>
            </w:pPr>
          </w:p>
        </w:tc>
        <w:tc>
          <w:tcPr>
            <w:tcW w:w="1417" w:type="dxa"/>
            <w:gridSpan w:val="2"/>
            <w:vMerge w:val="restart"/>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数量指标</w:t>
            </w:r>
          </w:p>
        </w:tc>
        <w:tc>
          <w:tcPr>
            <w:tcW w:w="4153" w:type="dxa"/>
            <w:gridSpan w:val="6"/>
            <w:vAlign w:val="center"/>
          </w:tcPr>
          <w:p>
            <w:pPr>
              <w:autoSpaceDN w:val="0"/>
              <w:spacing w:line="400" w:lineRule="exact"/>
              <w:jc w:val="left"/>
              <w:textAlignment w:val="center"/>
              <w:rPr>
                <w:rFonts w:hint="eastAsia" w:ascii="仿宋_GB2312" w:hAnsi="仿宋_GB2312" w:eastAsia="仿宋_GB2312" w:cs="仿宋_GB2312"/>
                <w:b w:val="0"/>
                <w:bCs w:val="0"/>
                <w:kern w:val="2"/>
                <w:sz w:val="21"/>
                <w:szCs w:val="21"/>
                <w:lang w:val="en-US" w:eastAsia="zh-CN" w:bidi="ar-SA"/>
              </w:rPr>
            </w:pPr>
            <w:r>
              <w:rPr>
                <w:rFonts w:hint="eastAsia" w:ascii="仿宋_GB2312" w:hAnsi="仿宋_GB2312" w:eastAsia="仿宋_GB2312" w:cs="仿宋_GB2312"/>
                <w:b w:val="0"/>
                <w:bCs w:val="0"/>
                <w:sz w:val="21"/>
                <w:szCs w:val="21"/>
              </w:rPr>
              <w:t>指标1：食品药品安全零事故</w:t>
            </w:r>
          </w:p>
        </w:tc>
        <w:tc>
          <w:tcPr>
            <w:tcW w:w="1240" w:type="dxa"/>
            <w:gridSpan w:val="4"/>
            <w:vMerge w:val="restart"/>
            <w:vAlign w:val="center"/>
          </w:tcPr>
          <w:p>
            <w:pPr>
              <w:autoSpaceDN w:val="0"/>
              <w:spacing w:line="320" w:lineRule="exact"/>
              <w:jc w:val="center"/>
              <w:textAlignment w:val="center"/>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color w:val="000000"/>
                <w:sz w:val="21"/>
                <w:szCs w:val="21"/>
              </w:rPr>
              <w:t>已完成</w:t>
            </w:r>
          </w:p>
          <w:p>
            <w:pPr>
              <w:autoSpaceDN w:val="0"/>
              <w:spacing w:line="320" w:lineRule="exact"/>
              <w:jc w:val="center"/>
              <w:textAlignment w:val="center"/>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color w:val="000000"/>
                <w:sz w:val="21"/>
                <w:szCs w:val="21"/>
              </w:rPr>
              <w:t>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61" w:hRule="atLeast"/>
          <w:jc w:val="center"/>
        </w:trPr>
        <w:tc>
          <w:tcPr>
            <w:tcW w:w="1441" w:type="dxa"/>
            <w:vMerge w:val="continue"/>
            <w:vAlign w:val="center"/>
          </w:tcPr>
          <w:p>
            <w:pPr>
              <w:spacing w:line="320" w:lineRule="exact"/>
              <w:rPr>
                <w:rFonts w:hint="eastAsia" w:ascii="仿宋_GB2312" w:hAnsi="仿宋_GB2312" w:eastAsia="仿宋_GB2312" w:cs="仿宋_GB2312"/>
                <w:sz w:val="24"/>
              </w:rPr>
            </w:pPr>
          </w:p>
        </w:tc>
        <w:tc>
          <w:tcPr>
            <w:tcW w:w="1549" w:type="dxa"/>
            <w:gridSpan w:val="4"/>
            <w:vMerge w:val="continue"/>
            <w:vAlign w:val="center"/>
          </w:tcPr>
          <w:p>
            <w:pPr>
              <w:autoSpaceDN w:val="0"/>
              <w:spacing w:line="320" w:lineRule="exact"/>
              <w:rPr>
                <w:rFonts w:hint="eastAsia" w:ascii="仿宋_GB2312" w:hAnsi="仿宋_GB2312" w:eastAsia="仿宋_GB2312" w:cs="仿宋_GB2312"/>
                <w:sz w:val="24"/>
              </w:rPr>
            </w:pPr>
          </w:p>
        </w:tc>
        <w:tc>
          <w:tcPr>
            <w:tcW w:w="1417" w:type="dxa"/>
            <w:gridSpan w:val="2"/>
            <w:vMerge w:val="continue"/>
            <w:vAlign w:val="center"/>
          </w:tcPr>
          <w:p>
            <w:pPr>
              <w:autoSpaceDN w:val="0"/>
              <w:spacing w:line="320" w:lineRule="exact"/>
              <w:jc w:val="center"/>
              <w:textAlignment w:val="center"/>
              <w:rPr>
                <w:rFonts w:hint="eastAsia" w:ascii="仿宋_GB2312" w:hAnsi="仿宋_GB2312" w:eastAsia="仿宋_GB2312" w:cs="仿宋_GB2312"/>
                <w:sz w:val="24"/>
              </w:rPr>
            </w:pPr>
          </w:p>
        </w:tc>
        <w:tc>
          <w:tcPr>
            <w:tcW w:w="4153" w:type="dxa"/>
            <w:gridSpan w:val="6"/>
            <w:vAlign w:val="center"/>
          </w:tcPr>
          <w:p>
            <w:pPr>
              <w:autoSpaceDN w:val="0"/>
              <w:spacing w:line="400" w:lineRule="exact"/>
              <w:jc w:val="left"/>
              <w:textAlignment w:val="center"/>
              <w:rPr>
                <w:rFonts w:hint="eastAsia" w:ascii="仿宋_GB2312" w:hAnsi="仿宋_GB2312" w:eastAsia="仿宋_GB2312" w:cs="仿宋_GB2312"/>
                <w:b w:val="0"/>
                <w:bCs w:val="0"/>
                <w:kern w:val="2"/>
                <w:sz w:val="21"/>
                <w:szCs w:val="21"/>
                <w:lang w:val="en-US" w:eastAsia="zh-CN" w:bidi="ar-SA"/>
              </w:rPr>
            </w:pPr>
            <w:r>
              <w:rPr>
                <w:rFonts w:hint="eastAsia" w:ascii="仿宋_GB2312" w:hAnsi="仿宋_GB2312" w:eastAsia="仿宋_GB2312" w:cs="仿宋_GB2312"/>
                <w:b w:val="0"/>
                <w:bCs w:val="0"/>
                <w:sz w:val="21"/>
                <w:szCs w:val="21"/>
              </w:rPr>
              <w:t>指标2：监督、抽检覆盖率100%</w:t>
            </w:r>
          </w:p>
        </w:tc>
        <w:tc>
          <w:tcPr>
            <w:tcW w:w="1240" w:type="dxa"/>
            <w:gridSpan w:val="4"/>
            <w:vMerge w:val="continue"/>
            <w:vAlign w:val="center"/>
          </w:tcPr>
          <w:p>
            <w:pPr>
              <w:autoSpaceDN w:val="0"/>
              <w:spacing w:line="320" w:lineRule="exact"/>
              <w:jc w:val="center"/>
              <w:textAlignment w:val="center"/>
              <w:rPr>
                <w:rFonts w:hint="eastAsia" w:ascii="仿宋_GB2312" w:hAnsi="仿宋_GB2312" w:eastAsia="仿宋_GB2312" w:cs="仿宋_GB2312"/>
                <w:b w:val="0"/>
                <w:bCs w:val="0"/>
                <w:color w:val="0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61" w:hRule="atLeast"/>
          <w:jc w:val="center"/>
        </w:trPr>
        <w:tc>
          <w:tcPr>
            <w:tcW w:w="1441" w:type="dxa"/>
            <w:vMerge w:val="continue"/>
            <w:vAlign w:val="center"/>
          </w:tcPr>
          <w:p>
            <w:pPr>
              <w:spacing w:line="320" w:lineRule="exact"/>
              <w:rPr>
                <w:rFonts w:hint="eastAsia" w:ascii="仿宋_GB2312" w:hAnsi="仿宋_GB2312" w:eastAsia="仿宋_GB2312" w:cs="仿宋_GB2312"/>
                <w:sz w:val="24"/>
              </w:rPr>
            </w:pPr>
          </w:p>
        </w:tc>
        <w:tc>
          <w:tcPr>
            <w:tcW w:w="1549" w:type="dxa"/>
            <w:gridSpan w:val="4"/>
            <w:vMerge w:val="continue"/>
            <w:vAlign w:val="center"/>
          </w:tcPr>
          <w:p>
            <w:pPr>
              <w:autoSpaceDN w:val="0"/>
              <w:spacing w:line="320" w:lineRule="exact"/>
              <w:rPr>
                <w:rFonts w:hint="eastAsia" w:ascii="仿宋_GB2312" w:hAnsi="仿宋_GB2312" w:eastAsia="仿宋_GB2312" w:cs="仿宋_GB2312"/>
                <w:sz w:val="24"/>
              </w:rPr>
            </w:pPr>
          </w:p>
        </w:tc>
        <w:tc>
          <w:tcPr>
            <w:tcW w:w="1417" w:type="dxa"/>
            <w:gridSpan w:val="2"/>
            <w:vMerge w:val="continue"/>
            <w:vAlign w:val="center"/>
          </w:tcPr>
          <w:p>
            <w:pPr>
              <w:autoSpaceDN w:val="0"/>
              <w:spacing w:line="320" w:lineRule="exact"/>
              <w:jc w:val="center"/>
              <w:textAlignment w:val="center"/>
              <w:rPr>
                <w:rFonts w:hint="eastAsia" w:ascii="仿宋_GB2312" w:hAnsi="仿宋_GB2312" w:eastAsia="仿宋_GB2312" w:cs="仿宋_GB2312"/>
                <w:sz w:val="24"/>
              </w:rPr>
            </w:pPr>
          </w:p>
        </w:tc>
        <w:tc>
          <w:tcPr>
            <w:tcW w:w="4153" w:type="dxa"/>
            <w:gridSpan w:val="6"/>
            <w:vAlign w:val="center"/>
          </w:tcPr>
          <w:p>
            <w:pPr>
              <w:autoSpaceDN w:val="0"/>
              <w:spacing w:line="400" w:lineRule="exact"/>
              <w:jc w:val="left"/>
              <w:textAlignment w:val="center"/>
              <w:rPr>
                <w:rFonts w:hint="eastAsia" w:ascii="仿宋_GB2312" w:hAnsi="仿宋_GB2312" w:eastAsia="仿宋_GB2312" w:cs="仿宋_GB2312"/>
                <w:b w:val="0"/>
                <w:bCs w:val="0"/>
                <w:kern w:val="2"/>
                <w:sz w:val="21"/>
                <w:szCs w:val="21"/>
                <w:lang w:val="en-US" w:eastAsia="zh-CN" w:bidi="ar-SA"/>
              </w:rPr>
            </w:pPr>
            <w:r>
              <w:rPr>
                <w:rFonts w:hint="eastAsia" w:ascii="仿宋_GB2312" w:hAnsi="仿宋_GB2312" w:eastAsia="仿宋_GB2312" w:cs="仿宋_GB2312"/>
                <w:b w:val="0"/>
                <w:bCs w:val="0"/>
                <w:sz w:val="21"/>
                <w:szCs w:val="21"/>
              </w:rPr>
              <w:t>指标3：药品医疗器械违法案件查处率100%</w:t>
            </w:r>
          </w:p>
        </w:tc>
        <w:tc>
          <w:tcPr>
            <w:tcW w:w="1240" w:type="dxa"/>
            <w:gridSpan w:val="4"/>
            <w:vMerge w:val="continue"/>
            <w:vAlign w:val="center"/>
          </w:tcPr>
          <w:p>
            <w:pPr>
              <w:autoSpaceDN w:val="0"/>
              <w:spacing w:line="320" w:lineRule="exact"/>
              <w:jc w:val="center"/>
              <w:textAlignment w:val="center"/>
              <w:rPr>
                <w:rFonts w:hint="eastAsia" w:ascii="仿宋_GB2312" w:hAnsi="仿宋_GB2312" w:eastAsia="仿宋_GB2312" w:cs="仿宋_GB2312"/>
                <w:b w:val="0"/>
                <w:bCs w:val="0"/>
                <w:color w:val="0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34" w:hRule="atLeast"/>
          <w:jc w:val="center"/>
        </w:trPr>
        <w:tc>
          <w:tcPr>
            <w:tcW w:w="1441" w:type="dxa"/>
            <w:vMerge w:val="continue"/>
            <w:vAlign w:val="center"/>
          </w:tcPr>
          <w:p>
            <w:pPr>
              <w:spacing w:line="320" w:lineRule="exact"/>
              <w:rPr>
                <w:rFonts w:hint="eastAsia" w:ascii="仿宋_GB2312" w:hAnsi="仿宋_GB2312" w:eastAsia="仿宋_GB2312" w:cs="仿宋_GB2312"/>
                <w:sz w:val="24"/>
              </w:rPr>
            </w:pPr>
          </w:p>
        </w:tc>
        <w:tc>
          <w:tcPr>
            <w:tcW w:w="1549" w:type="dxa"/>
            <w:gridSpan w:val="4"/>
            <w:vMerge w:val="continue"/>
            <w:vAlign w:val="center"/>
          </w:tcPr>
          <w:p>
            <w:pPr>
              <w:autoSpaceDN w:val="0"/>
              <w:spacing w:line="320" w:lineRule="exact"/>
              <w:rPr>
                <w:rFonts w:hint="eastAsia" w:ascii="仿宋_GB2312" w:hAnsi="仿宋_GB2312" w:eastAsia="仿宋_GB2312" w:cs="仿宋_GB2312"/>
                <w:sz w:val="24"/>
              </w:rPr>
            </w:pPr>
          </w:p>
        </w:tc>
        <w:tc>
          <w:tcPr>
            <w:tcW w:w="1417"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时效指标</w:t>
            </w:r>
          </w:p>
        </w:tc>
        <w:tc>
          <w:tcPr>
            <w:tcW w:w="4153" w:type="dxa"/>
            <w:gridSpan w:val="6"/>
            <w:vAlign w:val="center"/>
          </w:tcPr>
          <w:p>
            <w:pPr>
              <w:autoSpaceDN w:val="0"/>
              <w:spacing w:line="400" w:lineRule="exact"/>
              <w:jc w:val="left"/>
              <w:textAlignment w:val="center"/>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color w:val="000000"/>
                <w:sz w:val="21"/>
                <w:szCs w:val="21"/>
              </w:rPr>
              <w:t>整个年度工作支出</w:t>
            </w:r>
          </w:p>
        </w:tc>
        <w:tc>
          <w:tcPr>
            <w:tcW w:w="1240" w:type="dxa"/>
            <w:gridSpan w:val="4"/>
            <w:vAlign w:val="center"/>
          </w:tcPr>
          <w:p>
            <w:pPr>
              <w:autoSpaceDN w:val="0"/>
              <w:spacing w:line="320" w:lineRule="exact"/>
              <w:jc w:val="center"/>
              <w:textAlignment w:val="center"/>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color w:val="000000"/>
                <w:sz w:val="21"/>
                <w:szCs w:val="21"/>
              </w:rPr>
              <w:t>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49" w:hRule="atLeast"/>
          <w:jc w:val="center"/>
        </w:trPr>
        <w:tc>
          <w:tcPr>
            <w:tcW w:w="1441" w:type="dxa"/>
            <w:vMerge w:val="continue"/>
            <w:vAlign w:val="center"/>
          </w:tcPr>
          <w:p>
            <w:pPr>
              <w:spacing w:line="320" w:lineRule="exact"/>
              <w:rPr>
                <w:rFonts w:hint="eastAsia" w:ascii="仿宋_GB2312" w:hAnsi="仿宋_GB2312" w:eastAsia="仿宋_GB2312" w:cs="仿宋_GB2312"/>
                <w:sz w:val="24"/>
              </w:rPr>
            </w:pPr>
          </w:p>
        </w:tc>
        <w:tc>
          <w:tcPr>
            <w:tcW w:w="1549" w:type="dxa"/>
            <w:gridSpan w:val="4"/>
            <w:vMerge w:val="continue"/>
            <w:vAlign w:val="center"/>
          </w:tcPr>
          <w:p>
            <w:pPr>
              <w:autoSpaceDN w:val="0"/>
              <w:spacing w:line="320" w:lineRule="exact"/>
              <w:rPr>
                <w:rFonts w:hint="eastAsia" w:ascii="仿宋_GB2312" w:hAnsi="仿宋_GB2312" w:eastAsia="仿宋_GB2312" w:cs="仿宋_GB2312"/>
                <w:sz w:val="24"/>
              </w:rPr>
            </w:pPr>
          </w:p>
        </w:tc>
        <w:tc>
          <w:tcPr>
            <w:tcW w:w="1417"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成本指标</w:t>
            </w:r>
          </w:p>
        </w:tc>
        <w:tc>
          <w:tcPr>
            <w:tcW w:w="4153" w:type="dxa"/>
            <w:gridSpan w:val="6"/>
            <w:vAlign w:val="center"/>
          </w:tcPr>
          <w:p>
            <w:pPr>
              <w:autoSpaceDN w:val="0"/>
              <w:spacing w:line="400" w:lineRule="exact"/>
              <w:jc w:val="left"/>
              <w:textAlignment w:val="center"/>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color w:val="000000"/>
                <w:sz w:val="21"/>
                <w:szCs w:val="21"/>
              </w:rPr>
              <w:t>总支出控制在预算内</w:t>
            </w:r>
          </w:p>
        </w:tc>
        <w:tc>
          <w:tcPr>
            <w:tcW w:w="1240" w:type="dxa"/>
            <w:gridSpan w:val="4"/>
            <w:vAlign w:val="center"/>
          </w:tcPr>
          <w:p>
            <w:pPr>
              <w:autoSpaceDN w:val="0"/>
              <w:spacing w:line="320" w:lineRule="exact"/>
              <w:jc w:val="center"/>
              <w:textAlignment w:val="center"/>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color w:val="000000"/>
                <w:sz w:val="21"/>
                <w:szCs w:val="21"/>
              </w:rPr>
              <w:t>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1815" w:hRule="atLeast"/>
          <w:jc w:val="center"/>
        </w:trPr>
        <w:tc>
          <w:tcPr>
            <w:tcW w:w="1441" w:type="dxa"/>
            <w:vMerge w:val="continue"/>
            <w:vAlign w:val="center"/>
          </w:tcPr>
          <w:p>
            <w:pPr>
              <w:spacing w:line="320" w:lineRule="exact"/>
              <w:rPr>
                <w:rFonts w:hint="eastAsia" w:ascii="仿宋_GB2312" w:hAnsi="仿宋_GB2312" w:eastAsia="仿宋_GB2312" w:cs="仿宋_GB2312"/>
                <w:sz w:val="24"/>
              </w:rPr>
            </w:pPr>
          </w:p>
        </w:tc>
        <w:tc>
          <w:tcPr>
            <w:tcW w:w="1549" w:type="dxa"/>
            <w:gridSpan w:val="4"/>
            <w:vMerge w:val="restart"/>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效益目标</w:t>
            </w:r>
          </w:p>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（预期实现的效益）</w:t>
            </w:r>
          </w:p>
        </w:tc>
        <w:tc>
          <w:tcPr>
            <w:tcW w:w="1417"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社会效益</w:t>
            </w:r>
          </w:p>
        </w:tc>
        <w:tc>
          <w:tcPr>
            <w:tcW w:w="4153" w:type="dxa"/>
            <w:gridSpan w:val="6"/>
            <w:vAlign w:val="center"/>
          </w:tcPr>
          <w:p>
            <w:pPr>
              <w:autoSpaceDN w:val="0"/>
              <w:spacing w:line="320" w:lineRule="exact"/>
              <w:jc w:val="left"/>
              <w:textAlignment w:val="center"/>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color w:val="000000"/>
                <w:sz w:val="21"/>
                <w:szCs w:val="21"/>
              </w:rPr>
              <w:t>指标1：保障全区人民饮食用药安全。</w:t>
            </w:r>
          </w:p>
          <w:p>
            <w:pPr>
              <w:autoSpaceDN w:val="0"/>
              <w:spacing w:line="320" w:lineRule="exact"/>
              <w:jc w:val="left"/>
              <w:textAlignment w:val="center"/>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color w:val="000000"/>
                <w:sz w:val="21"/>
                <w:szCs w:val="21"/>
              </w:rPr>
              <w:t>指标2：促进药品、医疗器械、食品产业持续健康发展</w:t>
            </w:r>
          </w:p>
          <w:p>
            <w:pPr>
              <w:autoSpaceDN w:val="0"/>
              <w:spacing w:line="320" w:lineRule="exact"/>
              <w:jc w:val="left"/>
              <w:textAlignment w:val="center"/>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color w:val="000000"/>
                <w:sz w:val="21"/>
                <w:szCs w:val="21"/>
              </w:rPr>
              <w:t>指标3：促进社会和谐稳定，提升政府公信力</w:t>
            </w:r>
          </w:p>
          <w:p>
            <w:pPr>
              <w:autoSpaceDN w:val="0"/>
              <w:spacing w:line="320" w:lineRule="exact"/>
              <w:jc w:val="left"/>
              <w:textAlignment w:val="center"/>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color w:val="000000"/>
                <w:sz w:val="21"/>
                <w:szCs w:val="21"/>
              </w:rPr>
              <w:t>指标4：打击食品药品违法犯罪行为。</w:t>
            </w:r>
          </w:p>
        </w:tc>
        <w:tc>
          <w:tcPr>
            <w:tcW w:w="1240" w:type="dxa"/>
            <w:gridSpan w:val="4"/>
            <w:vAlign w:val="center"/>
          </w:tcPr>
          <w:p>
            <w:pPr>
              <w:autoSpaceDN w:val="0"/>
              <w:spacing w:line="320" w:lineRule="exact"/>
              <w:jc w:val="center"/>
              <w:textAlignment w:val="center"/>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color w:val="000000"/>
                <w:sz w:val="21"/>
                <w:szCs w:val="21"/>
              </w:rPr>
              <w:t>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54" w:hRule="atLeast"/>
          <w:jc w:val="center"/>
        </w:trPr>
        <w:tc>
          <w:tcPr>
            <w:tcW w:w="1441" w:type="dxa"/>
            <w:vMerge w:val="continue"/>
            <w:vAlign w:val="center"/>
          </w:tcPr>
          <w:p>
            <w:pPr>
              <w:spacing w:line="320" w:lineRule="exact"/>
              <w:rPr>
                <w:rFonts w:hint="eastAsia" w:ascii="仿宋_GB2312" w:hAnsi="仿宋_GB2312" w:eastAsia="仿宋_GB2312" w:cs="仿宋_GB2312"/>
                <w:sz w:val="24"/>
              </w:rPr>
            </w:pPr>
          </w:p>
        </w:tc>
        <w:tc>
          <w:tcPr>
            <w:tcW w:w="1549" w:type="dxa"/>
            <w:gridSpan w:val="4"/>
            <w:vMerge w:val="continue"/>
            <w:vAlign w:val="center"/>
          </w:tcPr>
          <w:p>
            <w:pPr>
              <w:autoSpaceDN w:val="0"/>
              <w:spacing w:line="320" w:lineRule="exact"/>
              <w:rPr>
                <w:rFonts w:hint="eastAsia" w:ascii="仿宋_GB2312" w:hAnsi="仿宋_GB2312" w:eastAsia="仿宋_GB2312" w:cs="仿宋_GB2312"/>
                <w:sz w:val="24"/>
              </w:rPr>
            </w:pPr>
          </w:p>
        </w:tc>
        <w:tc>
          <w:tcPr>
            <w:tcW w:w="1417"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经济效益</w:t>
            </w:r>
          </w:p>
        </w:tc>
        <w:tc>
          <w:tcPr>
            <w:tcW w:w="4153" w:type="dxa"/>
            <w:gridSpan w:val="6"/>
            <w:vAlign w:val="center"/>
          </w:tcPr>
          <w:p>
            <w:pPr>
              <w:autoSpaceDN w:val="0"/>
              <w:spacing w:line="320" w:lineRule="exact"/>
              <w:jc w:val="left"/>
              <w:textAlignment w:val="center"/>
              <w:rPr>
                <w:rFonts w:hint="eastAsia" w:ascii="仿宋_GB2312" w:hAnsi="仿宋_GB2312" w:eastAsia="仿宋_GB2312" w:cs="仿宋_GB2312"/>
                <w:b w:val="0"/>
                <w:bCs w:val="0"/>
                <w:color w:val="000000"/>
                <w:sz w:val="21"/>
                <w:szCs w:val="21"/>
                <w:lang w:eastAsia="zh-CN"/>
              </w:rPr>
            </w:pPr>
            <w:r>
              <w:rPr>
                <w:rFonts w:hint="eastAsia" w:ascii="仿宋_GB2312" w:hAnsi="仿宋_GB2312" w:eastAsia="仿宋_GB2312" w:cs="仿宋_GB2312"/>
                <w:b w:val="0"/>
                <w:bCs w:val="0"/>
                <w:color w:val="000000"/>
                <w:sz w:val="21"/>
                <w:szCs w:val="21"/>
                <w:lang w:eastAsia="zh-CN"/>
              </w:rPr>
              <w:t>无</w:t>
            </w:r>
          </w:p>
        </w:tc>
        <w:tc>
          <w:tcPr>
            <w:tcW w:w="1240" w:type="dxa"/>
            <w:gridSpan w:val="4"/>
            <w:vAlign w:val="center"/>
          </w:tcPr>
          <w:p>
            <w:pPr>
              <w:autoSpaceDN w:val="0"/>
              <w:spacing w:line="320" w:lineRule="exact"/>
              <w:jc w:val="center"/>
              <w:textAlignment w:val="center"/>
              <w:rPr>
                <w:rFonts w:hint="eastAsia" w:ascii="仿宋_GB2312" w:hAnsi="仿宋_GB2312" w:eastAsia="仿宋_GB2312" w:cs="仿宋_GB2312"/>
                <w:b w:val="0"/>
                <w:bCs w:val="0"/>
                <w:color w:val="0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54" w:hRule="atLeast"/>
          <w:jc w:val="center"/>
        </w:trPr>
        <w:tc>
          <w:tcPr>
            <w:tcW w:w="1441" w:type="dxa"/>
            <w:vMerge w:val="continue"/>
            <w:vAlign w:val="center"/>
          </w:tcPr>
          <w:p>
            <w:pPr>
              <w:spacing w:line="320" w:lineRule="exact"/>
              <w:rPr>
                <w:rFonts w:hint="eastAsia" w:ascii="仿宋_GB2312" w:hAnsi="仿宋_GB2312" w:eastAsia="仿宋_GB2312" w:cs="仿宋_GB2312"/>
                <w:sz w:val="24"/>
              </w:rPr>
            </w:pPr>
          </w:p>
        </w:tc>
        <w:tc>
          <w:tcPr>
            <w:tcW w:w="1549" w:type="dxa"/>
            <w:gridSpan w:val="4"/>
            <w:vMerge w:val="continue"/>
            <w:vAlign w:val="center"/>
          </w:tcPr>
          <w:p>
            <w:pPr>
              <w:autoSpaceDN w:val="0"/>
              <w:spacing w:line="320" w:lineRule="exact"/>
              <w:rPr>
                <w:rFonts w:hint="eastAsia" w:ascii="仿宋_GB2312" w:hAnsi="仿宋_GB2312" w:eastAsia="仿宋_GB2312" w:cs="仿宋_GB2312"/>
                <w:sz w:val="24"/>
              </w:rPr>
            </w:pPr>
          </w:p>
        </w:tc>
        <w:tc>
          <w:tcPr>
            <w:tcW w:w="1417"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生态效益</w:t>
            </w:r>
          </w:p>
        </w:tc>
        <w:tc>
          <w:tcPr>
            <w:tcW w:w="4153" w:type="dxa"/>
            <w:gridSpan w:val="6"/>
            <w:vAlign w:val="center"/>
          </w:tcPr>
          <w:p>
            <w:pPr>
              <w:autoSpaceDN w:val="0"/>
              <w:spacing w:line="320" w:lineRule="exact"/>
              <w:jc w:val="left"/>
              <w:textAlignment w:val="center"/>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color w:val="000000"/>
                <w:sz w:val="21"/>
                <w:szCs w:val="21"/>
              </w:rPr>
              <w:t>指标1：保障全区人民生命健康安全。</w:t>
            </w:r>
          </w:p>
          <w:p>
            <w:pPr>
              <w:autoSpaceDN w:val="0"/>
              <w:spacing w:line="320" w:lineRule="exact"/>
              <w:jc w:val="left"/>
              <w:textAlignment w:val="center"/>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color w:val="000000"/>
                <w:sz w:val="21"/>
                <w:szCs w:val="21"/>
              </w:rPr>
              <w:t>指标2：规范食品药品经营市场秩序</w:t>
            </w:r>
          </w:p>
        </w:tc>
        <w:tc>
          <w:tcPr>
            <w:tcW w:w="1240" w:type="dxa"/>
            <w:gridSpan w:val="4"/>
            <w:vAlign w:val="center"/>
          </w:tcPr>
          <w:p>
            <w:pPr>
              <w:autoSpaceDN w:val="0"/>
              <w:spacing w:line="320" w:lineRule="exact"/>
              <w:jc w:val="center"/>
              <w:textAlignment w:val="center"/>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color w:val="000000"/>
                <w:sz w:val="21"/>
                <w:szCs w:val="21"/>
              </w:rPr>
              <w:t>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54" w:hRule="atLeast"/>
          <w:jc w:val="center"/>
        </w:trPr>
        <w:tc>
          <w:tcPr>
            <w:tcW w:w="1441" w:type="dxa"/>
            <w:vMerge w:val="continue"/>
            <w:vAlign w:val="center"/>
          </w:tcPr>
          <w:p>
            <w:pPr>
              <w:spacing w:line="320" w:lineRule="exact"/>
              <w:rPr>
                <w:rFonts w:hint="eastAsia" w:ascii="仿宋_GB2312" w:hAnsi="仿宋_GB2312" w:eastAsia="仿宋_GB2312" w:cs="仿宋_GB2312"/>
                <w:sz w:val="24"/>
              </w:rPr>
            </w:pPr>
          </w:p>
        </w:tc>
        <w:tc>
          <w:tcPr>
            <w:tcW w:w="1549" w:type="dxa"/>
            <w:gridSpan w:val="4"/>
            <w:vMerge w:val="continue"/>
            <w:vAlign w:val="center"/>
          </w:tcPr>
          <w:p>
            <w:pPr>
              <w:autoSpaceDN w:val="0"/>
              <w:spacing w:line="320" w:lineRule="exact"/>
              <w:rPr>
                <w:rFonts w:hint="eastAsia" w:ascii="仿宋_GB2312" w:hAnsi="仿宋_GB2312" w:eastAsia="仿宋_GB2312" w:cs="仿宋_GB2312"/>
                <w:sz w:val="24"/>
              </w:rPr>
            </w:pPr>
          </w:p>
        </w:tc>
        <w:tc>
          <w:tcPr>
            <w:tcW w:w="1417"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社会公众或服务对象满意度</w:t>
            </w:r>
          </w:p>
        </w:tc>
        <w:tc>
          <w:tcPr>
            <w:tcW w:w="4153" w:type="dxa"/>
            <w:gridSpan w:val="6"/>
            <w:vAlign w:val="center"/>
          </w:tcPr>
          <w:p>
            <w:pPr>
              <w:autoSpaceDN w:val="0"/>
              <w:spacing w:line="400" w:lineRule="exact"/>
              <w:jc w:val="left"/>
              <w:textAlignment w:val="center"/>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color w:val="000000"/>
                <w:sz w:val="21"/>
                <w:szCs w:val="21"/>
              </w:rPr>
              <w:t>指标1：社会公众满意</w:t>
            </w:r>
            <w:r>
              <w:rPr>
                <w:rFonts w:hint="eastAsia" w:ascii="仿宋_GB2312" w:hAnsi="仿宋_GB2312" w:eastAsia="仿宋_GB2312" w:cs="仿宋_GB2312"/>
                <w:b w:val="0"/>
                <w:bCs w:val="0"/>
                <w:sz w:val="21"/>
                <w:szCs w:val="21"/>
              </w:rPr>
              <w:t>度≥95%</w:t>
            </w:r>
          </w:p>
          <w:p>
            <w:pPr>
              <w:autoSpaceDN w:val="0"/>
              <w:spacing w:line="320" w:lineRule="exact"/>
              <w:jc w:val="left"/>
              <w:textAlignment w:val="center"/>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sz w:val="21"/>
                <w:szCs w:val="21"/>
              </w:rPr>
              <w:t>指标2：服务对象满意度≥90%</w:t>
            </w:r>
          </w:p>
        </w:tc>
        <w:tc>
          <w:tcPr>
            <w:tcW w:w="1240" w:type="dxa"/>
            <w:gridSpan w:val="4"/>
            <w:vAlign w:val="center"/>
          </w:tcPr>
          <w:p>
            <w:pPr>
              <w:autoSpaceDN w:val="0"/>
              <w:spacing w:line="320" w:lineRule="exact"/>
              <w:jc w:val="center"/>
              <w:textAlignment w:val="center"/>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color w:val="000000"/>
                <w:sz w:val="21"/>
                <w:szCs w:val="21"/>
              </w:rPr>
              <w:t>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2990" w:type="dxa"/>
            <w:gridSpan w:val="5"/>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绩效自评综合得分</w:t>
            </w:r>
          </w:p>
        </w:tc>
        <w:tc>
          <w:tcPr>
            <w:tcW w:w="6810" w:type="dxa"/>
            <w:gridSpan w:val="12"/>
            <w:vAlign w:val="center"/>
          </w:tcPr>
          <w:p>
            <w:pPr>
              <w:autoSpaceDN w:val="0"/>
              <w:spacing w:line="400" w:lineRule="exact"/>
              <w:jc w:val="center"/>
              <w:textAlignment w:val="center"/>
              <w:rPr>
                <w:rFonts w:hint="eastAsia" w:ascii="黑体" w:hAnsi="黑体" w:eastAsia="黑体" w:cs="仿宋_GB2312"/>
                <w:color w:val="000000"/>
                <w:kern w:val="2"/>
                <w:sz w:val="24"/>
                <w:szCs w:val="24"/>
                <w:lang w:val="en-US" w:eastAsia="zh-CN" w:bidi="ar-SA"/>
              </w:rPr>
            </w:pPr>
            <w:r>
              <w:rPr>
                <w:rFonts w:hint="eastAsia" w:ascii="黑体" w:hAnsi="黑体" w:eastAsia="黑体" w:cs="仿宋_GB2312"/>
                <w:color w:val="000000"/>
                <w:sz w:val="24"/>
                <w:lang w:val="en-US" w:eastAsia="zh-CN"/>
              </w:rPr>
              <w:t>99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2990" w:type="dxa"/>
            <w:gridSpan w:val="5"/>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评价等次</w:t>
            </w:r>
          </w:p>
        </w:tc>
        <w:tc>
          <w:tcPr>
            <w:tcW w:w="6810" w:type="dxa"/>
            <w:gridSpan w:val="12"/>
            <w:vAlign w:val="center"/>
          </w:tcPr>
          <w:p>
            <w:pPr>
              <w:autoSpaceDN w:val="0"/>
              <w:spacing w:line="400" w:lineRule="exact"/>
              <w:jc w:val="center"/>
              <w:textAlignment w:val="center"/>
              <w:rPr>
                <w:rFonts w:hint="eastAsia" w:ascii="黑体" w:hAnsi="黑体" w:eastAsia="黑体" w:cs="仿宋_GB2312"/>
                <w:color w:val="000000"/>
                <w:kern w:val="2"/>
                <w:sz w:val="24"/>
                <w:szCs w:val="24"/>
                <w:lang w:val="en-US" w:eastAsia="zh-CN" w:bidi="ar-SA"/>
              </w:rPr>
            </w:pPr>
            <w:r>
              <w:rPr>
                <w:rFonts w:hint="eastAsia" w:ascii="黑体" w:hAnsi="黑体" w:eastAsia="黑体" w:cs="仿宋_GB2312"/>
                <w:color w:val="000000"/>
                <w:sz w:val="24"/>
              </w:rPr>
              <w:t>优秀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75" w:hRule="atLeast"/>
          <w:jc w:val="center"/>
        </w:trPr>
        <w:tc>
          <w:tcPr>
            <w:tcW w:w="9800" w:type="dxa"/>
            <w:gridSpan w:val="17"/>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黑体" w:hAnsi="黑体" w:eastAsia="黑体" w:cs="黑体"/>
                <w:color w:val="000000"/>
                <w:sz w:val="28"/>
                <w:szCs w:val="28"/>
              </w:rPr>
              <w:t>四、评价人员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1654"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姓  名</w:t>
            </w:r>
          </w:p>
        </w:tc>
        <w:tc>
          <w:tcPr>
            <w:tcW w:w="3854" w:type="dxa"/>
            <w:gridSpan w:val="6"/>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职务/职称</w:t>
            </w:r>
          </w:p>
        </w:tc>
        <w:tc>
          <w:tcPr>
            <w:tcW w:w="1515"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单  位</w:t>
            </w:r>
          </w:p>
        </w:tc>
        <w:tc>
          <w:tcPr>
            <w:tcW w:w="2777" w:type="dxa"/>
            <w:gridSpan w:val="7"/>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签  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80" w:hRule="atLeast"/>
          <w:jc w:val="center"/>
        </w:trPr>
        <w:tc>
          <w:tcPr>
            <w:tcW w:w="1654"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任拥军</w:t>
            </w:r>
          </w:p>
        </w:tc>
        <w:tc>
          <w:tcPr>
            <w:tcW w:w="3854" w:type="dxa"/>
            <w:gridSpan w:val="6"/>
            <w:vAlign w:val="center"/>
          </w:tcPr>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党委委员</w:t>
            </w:r>
          </w:p>
        </w:tc>
        <w:tc>
          <w:tcPr>
            <w:tcW w:w="1515"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区市场监管局</w:t>
            </w:r>
          </w:p>
        </w:tc>
        <w:tc>
          <w:tcPr>
            <w:tcW w:w="2777" w:type="dxa"/>
            <w:gridSpan w:val="7"/>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80" w:hRule="atLeast"/>
          <w:jc w:val="center"/>
        </w:trPr>
        <w:tc>
          <w:tcPr>
            <w:tcW w:w="1654"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万小会</w:t>
            </w:r>
          </w:p>
        </w:tc>
        <w:tc>
          <w:tcPr>
            <w:tcW w:w="3854" w:type="dxa"/>
            <w:gridSpan w:val="6"/>
            <w:vAlign w:val="center"/>
          </w:tcPr>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财务股长</w:t>
            </w:r>
          </w:p>
        </w:tc>
        <w:tc>
          <w:tcPr>
            <w:tcW w:w="1515"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区市场监管局</w:t>
            </w:r>
          </w:p>
        </w:tc>
        <w:tc>
          <w:tcPr>
            <w:tcW w:w="2777" w:type="dxa"/>
            <w:gridSpan w:val="7"/>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80" w:hRule="atLeast"/>
          <w:jc w:val="center"/>
        </w:trPr>
        <w:tc>
          <w:tcPr>
            <w:tcW w:w="1654"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潘波棠</w:t>
            </w:r>
          </w:p>
        </w:tc>
        <w:tc>
          <w:tcPr>
            <w:tcW w:w="3854" w:type="dxa"/>
            <w:gridSpan w:val="6"/>
            <w:vAlign w:val="center"/>
          </w:tcPr>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办公室主任</w:t>
            </w:r>
          </w:p>
        </w:tc>
        <w:tc>
          <w:tcPr>
            <w:tcW w:w="1515"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区市场监管局</w:t>
            </w:r>
          </w:p>
        </w:tc>
        <w:tc>
          <w:tcPr>
            <w:tcW w:w="2777" w:type="dxa"/>
            <w:gridSpan w:val="7"/>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80" w:hRule="atLeast"/>
          <w:jc w:val="center"/>
        </w:trPr>
        <w:tc>
          <w:tcPr>
            <w:tcW w:w="1654"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lang w:eastAsia="zh-CN"/>
              </w:rPr>
            </w:pPr>
          </w:p>
        </w:tc>
        <w:tc>
          <w:tcPr>
            <w:tcW w:w="3854" w:type="dxa"/>
            <w:gridSpan w:val="6"/>
            <w:vAlign w:val="center"/>
          </w:tcPr>
          <w:p>
            <w:pPr>
              <w:autoSpaceDN w:val="0"/>
              <w:spacing w:line="320" w:lineRule="exact"/>
              <w:jc w:val="center"/>
              <w:textAlignment w:val="center"/>
              <w:rPr>
                <w:rFonts w:hint="eastAsia" w:ascii="仿宋_GB2312" w:hAnsi="仿宋_GB2312" w:eastAsia="仿宋_GB2312" w:cs="仿宋_GB2312"/>
                <w:color w:val="000000"/>
                <w:sz w:val="24"/>
                <w:lang w:eastAsia="zh-CN"/>
              </w:rPr>
            </w:pPr>
          </w:p>
        </w:tc>
        <w:tc>
          <w:tcPr>
            <w:tcW w:w="1515"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2777" w:type="dxa"/>
            <w:gridSpan w:val="7"/>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2090" w:hRule="atLeast"/>
          <w:jc w:val="center"/>
        </w:trPr>
        <w:tc>
          <w:tcPr>
            <w:tcW w:w="9800" w:type="dxa"/>
            <w:gridSpan w:val="17"/>
            <w:vAlign w:val="center"/>
          </w:tcPr>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评价组组长（签字）：</w:t>
            </w:r>
          </w:p>
          <w:p>
            <w:pPr>
              <w:autoSpaceDN w:val="0"/>
              <w:spacing w:line="320" w:lineRule="exact"/>
              <w:jc w:val="left"/>
              <w:textAlignment w:val="center"/>
              <w:rPr>
                <w:rFonts w:hint="eastAsia" w:ascii="仿宋_GB2312" w:hAnsi="仿宋_GB2312" w:eastAsia="仿宋_GB2312" w:cs="仿宋_GB2312"/>
                <w:color w:val="000000"/>
                <w:sz w:val="24"/>
              </w:rPr>
            </w:pPr>
          </w:p>
          <w:p>
            <w:pPr>
              <w:autoSpaceDN w:val="0"/>
              <w:spacing w:line="320" w:lineRule="exact"/>
              <w:jc w:val="left"/>
              <w:textAlignment w:val="center"/>
              <w:rPr>
                <w:rFonts w:hint="eastAsia" w:ascii="仿宋_GB2312" w:hAnsi="仿宋_GB2312" w:eastAsia="仿宋_GB2312" w:cs="仿宋_GB2312"/>
                <w:color w:val="000000"/>
                <w:sz w:val="24"/>
              </w:rPr>
            </w:pPr>
          </w:p>
          <w:p>
            <w:pPr>
              <w:autoSpaceDN w:val="0"/>
              <w:spacing w:line="320" w:lineRule="exact"/>
              <w:jc w:val="left"/>
              <w:textAlignment w:val="center"/>
              <w:rPr>
                <w:rFonts w:hint="eastAsia" w:ascii="仿宋_GB2312" w:hAnsi="仿宋_GB2312" w:eastAsia="仿宋_GB2312" w:cs="仿宋_GB2312"/>
                <w:color w:val="000000"/>
                <w:sz w:val="24"/>
              </w:rPr>
            </w:pPr>
          </w:p>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lang w:val="en-US" w:eastAsia="zh-CN"/>
              </w:rPr>
              <w:t>2023</w:t>
            </w:r>
            <w:r>
              <w:rPr>
                <w:rFonts w:hint="eastAsia" w:ascii="仿宋_GB2312" w:hAnsi="仿宋_GB2312" w:eastAsia="仿宋_GB2312" w:cs="仿宋_GB2312"/>
                <w:color w:val="000000"/>
                <w:sz w:val="24"/>
              </w:rPr>
              <w:t>年</w:t>
            </w:r>
            <w:r>
              <w:rPr>
                <w:rFonts w:hint="eastAsia" w:ascii="仿宋_GB2312" w:hAnsi="仿宋_GB2312" w:eastAsia="仿宋_GB2312" w:cs="仿宋_GB2312"/>
                <w:color w:val="000000"/>
                <w:sz w:val="24"/>
                <w:lang w:val="en-US" w:eastAsia="zh-CN"/>
              </w:rPr>
              <w:t xml:space="preserve"> 7 </w:t>
            </w:r>
            <w:r>
              <w:rPr>
                <w:rFonts w:hint="eastAsia" w:ascii="仿宋_GB2312" w:hAnsi="仿宋_GB2312" w:eastAsia="仿宋_GB2312" w:cs="仿宋_GB2312"/>
                <w:color w:val="000000"/>
                <w:sz w:val="24"/>
              </w:rPr>
              <w:t>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2635" w:hRule="atLeast"/>
          <w:jc w:val="center"/>
        </w:trPr>
        <w:tc>
          <w:tcPr>
            <w:tcW w:w="9800" w:type="dxa"/>
            <w:gridSpan w:val="17"/>
            <w:vAlign w:val="center"/>
          </w:tcPr>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部门（单位）意见：</w:t>
            </w:r>
          </w:p>
          <w:p>
            <w:pPr>
              <w:autoSpaceDN w:val="0"/>
              <w:spacing w:line="320" w:lineRule="exact"/>
              <w:jc w:val="left"/>
              <w:textAlignment w:val="center"/>
              <w:rPr>
                <w:rFonts w:hint="eastAsia" w:ascii="仿宋_GB2312" w:hAnsi="仿宋_GB2312" w:eastAsia="仿宋_GB2312" w:cs="仿宋_GB2312"/>
                <w:color w:val="000000"/>
                <w:sz w:val="24"/>
              </w:rPr>
            </w:pPr>
          </w:p>
          <w:p>
            <w:pPr>
              <w:autoSpaceDN w:val="0"/>
              <w:spacing w:line="320" w:lineRule="exact"/>
              <w:jc w:val="left"/>
              <w:textAlignment w:val="center"/>
              <w:rPr>
                <w:rFonts w:hint="eastAsia" w:ascii="仿宋_GB2312" w:hAnsi="仿宋_GB2312" w:eastAsia="仿宋_GB2312" w:cs="仿宋_GB2312"/>
                <w:color w:val="000000"/>
                <w:sz w:val="24"/>
              </w:rPr>
            </w:pPr>
          </w:p>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部门（单位）负责人（签章）：</w:t>
            </w:r>
          </w:p>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lang w:val="en-US" w:eastAsia="zh-CN"/>
              </w:rPr>
              <w:t>2023</w:t>
            </w:r>
            <w:r>
              <w:rPr>
                <w:rFonts w:hint="eastAsia" w:ascii="仿宋_GB2312" w:hAnsi="仿宋_GB2312" w:eastAsia="仿宋_GB2312" w:cs="仿宋_GB2312"/>
                <w:color w:val="000000"/>
                <w:sz w:val="24"/>
              </w:rPr>
              <w:t>年</w:t>
            </w:r>
            <w:r>
              <w:rPr>
                <w:rFonts w:hint="eastAsia" w:ascii="仿宋_GB2312" w:hAnsi="仿宋_GB2312" w:eastAsia="仿宋_GB2312" w:cs="仿宋_GB2312"/>
                <w:color w:val="000000"/>
                <w:sz w:val="24"/>
                <w:lang w:val="en-US" w:eastAsia="zh-CN"/>
              </w:rPr>
              <w:t xml:space="preserve"> 7 </w:t>
            </w:r>
            <w:r>
              <w:rPr>
                <w:rFonts w:hint="eastAsia" w:ascii="仿宋_GB2312" w:hAnsi="仿宋_GB2312" w:eastAsia="仿宋_GB2312" w:cs="仿宋_GB2312"/>
                <w:color w:val="000000"/>
                <w:sz w:val="24"/>
              </w:rPr>
              <w:t>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2584" w:hRule="atLeast"/>
          <w:jc w:val="center"/>
        </w:trPr>
        <w:tc>
          <w:tcPr>
            <w:tcW w:w="9800" w:type="dxa"/>
            <w:gridSpan w:val="17"/>
            <w:vAlign w:val="center"/>
          </w:tcPr>
          <w:p>
            <w:pPr>
              <w:spacing w:line="320" w:lineRule="exact"/>
              <w:rPr>
                <w:rFonts w:hint="eastAsia" w:eastAsia="仿宋_GB2312"/>
                <w:sz w:val="24"/>
              </w:rPr>
            </w:pPr>
            <w:r>
              <w:rPr>
                <w:rFonts w:hint="eastAsia" w:eastAsia="仿宋_GB2312"/>
                <w:sz w:val="24"/>
              </w:rPr>
              <w:t>财政部门归口业务科室意见：</w:t>
            </w:r>
          </w:p>
          <w:p>
            <w:pPr>
              <w:spacing w:line="320" w:lineRule="exact"/>
              <w:rPr>
                <w:rFonts w:hint="eastAsia" w:eastAsia="仿宋_GB2312"/>
                <w:sz w:val="24"/>
              </w:rPr>
            </w:pPr>
          </w:p>
          <w:p>
            <w:pPr>
              <w:spacing w:line="320" w:lineRule="exact"/>
              <w:rPr>
                <w:rFonts w:hint="eastAsia" w:eastAsia="仿宋_GB2312"/>
                <w:sz w:val="24"/>
              </w:rPr>
            </w:pPr>
          </w:p>
          <w:p>
            <w:pPr>
              <w:spacing w:line="320" w:lineRule="exact"/>
              <w:rPr>
                <w:rFonts w:hint="eastAsia" w:eastAsia="仿宋_GB2312"/>
                <w:sz w:val="24"/>
              </w:rPr>
            </w:pPr>
          </w:p>
          <w:p>
            <w:pPr>
              <w:spacing w:line="320" w:lineRule="exact"/>
              <w:rPr>
                <w:rFonts w:hint="eastAsia" w:eastAsia="仿宋_GB2312"/>
                <w:sz w:val="24"/>
              </w:rPr>
            </w:pPr>
            <w:r>
              <w:rPr>
                <w:rFonts w:hint="eastAsia" w:eastAsia="仿宋_GB2312"/>
                <w:sz w:val="24"/>
              </w:rPr>
              <w:t xml:space="preserve">                                  财政部门归口业务</w:t>
            </w:r>
            <w:r>
              <w:rPr>
                <w:rFonts w:hint="eastAsia" w:eastAsia="仿宋_GB2312"/>
                <w:sz w:val="24"/>
                <w:lang w:eastAsia="zh-CN"/>
              </w:rPr>
              <w:t>股</w:t>
            </w:r>
            <w:r>
              <w:rPr>
                <w:rFonts w:hint="eastAsia" w:eastAsia="仿宋_GB2312"/>
                <w:sz w:val="24"/>
              </w:rPr>
              <w:t>室负责人（签章）：</w:t>
            </w:r>
          </w:p>
          <w:p>
            <w:pPr>
              <w:autoSpaceDN w:val="0"/>
              <w:spacing w:line="320" w:lineRule="exact"/>
              <w:jc w:val="left"/>
              <w:textAlignment w:val="center"/>
              <w:rPr>
                <w:rFonts w:hint="eastAsia" w:ascii="仿宋_GB2312" w:hAnsi="仿宋_GB2312" w:eastAsia="仿宋_GB2312" w:cs="仿宋_GB2312"/>
                <w:color w:val="000000"/>
                <w:sz w:val="24"/>
              </w:rPr>
            </w:pPr>
            <w:r>
              <w:rPr>
                <w:rFonts w:hint="eastAsia" w:eastAsia="仿宋_GB2312"/>
                <w:sz w:val="24"/>
              </w:rPr>
              <w:t xml:space="preserve">                                                                 年    月   日</w:t>
            </w:r>
          </w:p>
        </w:tc>
      </w:tr>
    </w:tbl>
    <w:p>
      <w:pPr>
        <w:rPr>
          <w:rFonts w:hint="default" w:eastAsia="仿宋_GB2312" w:cs="仿宋_GB2312"/>
          <w:bCs/>
          <w:sz w:val="28"/>
          <w:szCs w:val="28"/>
          <w:lang w:val="en-US" w:eastAsia="zh-CN"/>
        </w:rPr>
      </w:pPr>
      <w:r>
        <w:rPr>
          <w:rFonts w:hint="eastAsia" w:eastAsia="仿宋_GB2312" w:cs="仿宋_GB2312"/>
          <w:bCs/>
          <w:sz w:val="28"/>
          <w:szCs w:val="28"/>
        </w:rPr>
        <w:t>填报人（签名）：                          联系电话：</w:t>
      </w:r>
      <w:r>
        <w:rPr>
          <w:rFonts w:hint="eastAsia" w:eastAsia="仿宋_GB2312" w:cs="仿宋_GB2312"/>
          <w:bCs/>
          <w:sz w:val="28"/>
          <w:szCs w:val="28"/>
          <w:lang w:val="en-US" w:eastAsia="zh-CN"/>
        </w:rPr>
        <w:t>13975096846</w:t>
      </w:r>
    </w:p>
    <w:tbl>
      <w:tblPr>
        <w:tblStyle w:val="8"/>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8" w:hRule="atLeast"/>
          <w:jc w:val="center"/>
        </w:trPr>
        <w:tc>
          <w:tcPr>
            <w:tcW w:w="9558" w:type="dxa"/>
            <w:vAlign w:val="top"/>
          </w:tcPr>
          <w:p>
            <w:pPr>
              <w:jc w:val="center"/>
              <w:rPr>
                <w:rFonts w:hint="eastAsia" w:ascii="黑体" w:hAnsi="黑体" w:eastAsia="黑体" w:cs="黑体"/>
                <w:bCs/>
                <w:sz w:val="28"/>
                <w:szCs w:val="28"/>
              </w:rPr>
            </w:pPr>
            <w:r>
              <w:rPr>
                <w:rFonts w:hint="eastAsia" w:ascii="黑体" w:hAnsi="黑体" w:eastAsia="黑体" w:cs="黑体"/>
                <w:bCs/>
                <w:sz w:val="28"/>
                <w:szCs w:val="28"/>
              </w:rPr>
              <w:t>五、评价报告综述（文字部分）</w:t>
            </w:r>
          </w:p>
          <w:p>
            <w:pPr>
              <w:spacing w:line="440" w:lineRule="exact"/>
              <w:ind w:firstLine="640" w:firstLineChars="200"/>
              <w:rPr>
                <w:rFonts w:hint="eastAsia" w:eastAsia="仿宋_GB2312"/>
                <w:sz w:val="32"/>
                <w:szCs w:val="32"/>
              </w:rPr>
            </w:pPr>
          </w:p>
          <w:p>
            <w:pPr>
              <w:spacing w:line="56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rPr>
              <w:t>一、部门（单位）概况</w:t>
            </w:r>
          </w:p>
          <w:p>
            <w:pPr>
              <w:spacing w:line="56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（一）部门（单位）基本情况</w:t>
            </w:r>
          </w:p>
          <w:p>
            <w:pPr>
              <w:snapToGrid w:val="0"/>
              <w:spacing w:line="540" w:lineRule="exact"/>
              <w:ind w:firstLine="480" w:firstLineChars="200"/>
              <w:rPr>
                <w:rFonts w:hint="eastAsia" w:ascii="仿宋_GB2312" w:hAnsi="仿宋_GB2312" w:eastAsia="仿宋_GB2312" w:cs="仿宋_GB2312"/>
                <w:bCs/>
                <w:sz w:val="28"/>
                <w:szCs w:val="28"/>
              </w:rPr>
            </w:pPr>
            <w:r>
              <w:rPr>
                <w:rFonts w:hint="eastAsia" w:ascii="仿宋_GB2312" w:hAnsi="仿宋_GB2312" w:eastAsia="仿宋_GB2312" w:cs="仿宋_GB2312"/>
                <w:b w:val="0"/>
                <w:bCs/>
                <w:sz w:val="24"/>
                <w:lang w:eastAsia="zh-CN"/>
              </w:rPr>
              <w:t>我局是区人民政府工作部门，</w:t>
            </w:r>
            <w:r>
              <w:rPr>
                <w:rFonts w:hint="eastAsia" w:ascii="仿宋_GB2312" w:hAnsi="仿宋_GB2312" w:eastAsia="仿宋_GB2312" w:cs="仿宋_GB2312"/>
                <w:b w:val="0"/>
                <w:bCs/>
                <w:sz w:val="24"/>
              </w:rPr>
              <w:t>组建于201</w:t>
            </w:r>
            <w:r>
              <w:rPr>
                <w:rFonts w:hint="eastAsia" w:ascii="仿宋_GB2312" w:hAnsi="仿宋_GB2312" w:eastAsia="仿宋_GB2312" w:cs="仿宋_GB2312"/>
                <w:b w:val="0"/>
                <w:bCs/>
                <w:sz w:val="24"/>
                <w:lang w:val="en-US" w:eastAsia="zh-CN"/>
              </w:rPr>
              <w:t>9</w:t>
            </w:r>
            <w:r>
              <w:rPr>
                <w:rFonts w:hint="eastAsia" w:ascii="仿宋_GB2312" w:hAnsi="仿宋_GB2312" w:eastAsia="仿宋_GB2312" w:cs="仿宋_GB2312"/>
                <w:b w:val="0"/>
                <w:bCs/>
                <w:sz w:val="24"/>
              </w:rPr>
              <w:t>年3月，主要职能是负责全区药品、医疗器械、保健食品、化妆品和食品</w:t>
            </w:r>
            <w:r>
              <w:rPr>
                <w:rFonts w:hint="eastAsia" w:ascii="仿宋_GB2312" w:hAnsi="仿宋_GB2312" w:eastAsia="仿宋_GB2312" w:cs="仿宋_GB2312"/>
                <w:b w:val="0"/>
                <w:bCs/>
                <w:sz w:val="24"/>
                <w:lang w:eastAsia="zh-CN"/>
              </w:rPr>
              <w:t>、特种设备等</w:t>
            </w:r>
            <w:r>
              <w:rPr>
                <w:rFonts w:hint="eastAsia" w:ascii="仿宋_GB2312" w:hAnsi="仿宋_GB2312" w:eastAsia="仿宋_GB2312" w:cs="仿宋_GB2312"/>
                <w:b w:val="0"/>
                <w:bCs/>
                <w:sz w:val="24"/>
              </w:rPr>
              <w:t>生产、流通、消费环节的监督管理。内设</w:t>
            </w:r>
            <w:r>
              <w:rPr>
                <w:rFonts w:hint="eastAsia" w:ascii="仿宋_GB2312" w:hAnsi="仿宋_GB2312" w:eastAsia="仿宋_GB2312" w:cs="仿宋_GB2312"/>
                <w:b w:val="0"/>
                <w:bCs/>
                <w:sz w:val="24"/>
                <w:lang w:val="en-US" w:eastAsia="zh-CN"/>
              </w:rPr>
              <w:t>14个股室、2个事业单位、1个综合执法大队及5个市场监管所</w:t>
            </w:r>
            <w:r>
              <w:rPr>
                <w:rFonts w:hint="eastAsia" w:ascii="仿宋_GB2312" w:hAnsi="仿宋_GB2312" w:eastAsia="仿宋_GB2312" w:cs="仿宋_GB2312"/>
                <w:b w:val="0"/>
                <w:bCs/>
                <w:sz w:val="24"/>
                <w:lang w:eastAsia="zh-CN"/>
              </w:rPr>
              <w:t>全</w:t>
            </w:r>
            <w:r>
              <w:rPr>
                <w:rFonts w:hint="eastAsia" w:ascii="仿宋_GB2312" w:hAnsi="仿宋_GB2312" w:eastAsia="仿宋_GB2312" w:cs="仿宋_GB2312"/>
                <w:b w:val="0"/>
                <w:bCs/>
                <w:sz w:val="24"/>
              </w:rPr>
              <w:t>局</w:t>
            </w:r>
            <w:r>
              <w:rPr>
                <w:rFonts w:hint="eastAsia" w:ascii="仿宋_GB2312" w:hAnsi="仿宋_GB2312" w:eastAsia="仿宋_GB2312" w:cs="仿宋_GB2312"/>
                <w:b w:val="0"/>
                <w:bCs/>
                <w:sz w:val="24"/>
                <w:lang w:eastAsia="zh-CN"/>
              </w:rPr>
              <w:t>核定</w:t>
            </w:r>
            <w:r>
              <w:rPr>
                <w:rFonts w:hint="eastAsia" w:ascii="仿宋_GB2312" w:hAnsi="仿宋_GB2312" w:eastAsia="仿宋_GB2312" w:cs="仿宋_GB2312"/>
                <w:b w:val="0"/>
                <w:bCs/>
                <w:sz w:val="24"/>
              </w:rPr>
              <w:t>编制</w:t>
            </w:r>
            <w:r>
              <w:rPr>
                <w:rFonts w:hint="eastAsia" w:ascii="仿宋_GB2312" w:hAnsi="仿宋_GB2312" w:eastAsia="仿宋_GB2312" w:cs="仿宋_GB2312"/>
                <w:b w:val="0"/>
                <w:bCs/>
                <w:sz w:val="24"/>
                <w:lang w:val="en-US" w:eastAsia="zh-CN"/>
              </w:rPr>
              <w:t>55</w:t>
            </w:r>
            <w:r>
              <w:rPr>
                <w:rFonts w:hint="eastAsia" w:ascii="仿宋_GB2312" w:hAnsi="仿宋_GB2312" w:eastAsia="仿宋_GB2312" w:cs="仿宋_GB2312"/>
                <w:b w:val="0"/>
                <w:bCs/>
                <w:sz w:val="24"/>
                <w:lang w:eastAsia="zh-CN"/>
              </w:rPr>
              <w:t>人</w:t>
            </w:r>
            <w:r>
              <w:rPr>
                <w:rFonts w:hint="eastAsia" w:ascii="仿宋_GB2312" w:hAnsi="仿宋_GB2312" w:eastAsia="仿宋_GB2312" w:cs="仿宋_GB2312"/>
                <w:b w:val="0"/>
                <w:bCs/>
                <w:sz w:val="24"/>
              </w:rPr>
              <w:t>，</w:t>
            </w:r>
            <w:r>
              <w:rPr>
                <w:rFonts w:hint="eastAsia" w:ascii="仿宋_GB2312" w:hAnsi="仿宋_GB2312" w:eastAsia="仿宋_GB2312" w:cs="仿宋_GB2312"/>
                <w:b w:val="0"/>
                <w:bCs/>
                <w:sz w:val="24"/>
                <w:lang w:eastAsia="zh-CN"/>
              </w:rPr>
              <w:t>现</w:t>
            </w:r>
            <w:r>
              <w:rPr>
                <w:rFonts w:hint="eastAsia" w:ascii="仿宋_GB2312" w:hAnsi="仿宋_GB2312" w:eastAsia="仿宋_GB2312" w:cs="仿宋_GB2312"/>
                <w:b w:val="0"/>
                <w:bCs/>
                <w:sz w:val="24"/>
              </w:rPr>
              <w:t>实有</w:t>
            </w:r>
            <w:r>
              <w:rPr>
                <w:rFonts w:hint="eastAsia" w:ascii="仿宋_GB2312" w:hAnsi="仿宋_GB2312" w:eastAsia="仿宋_GB2312" w:cs="仿宋_GB2312"/>
                <w:b w:val="0"/>
                <w:bCs/>
                <w:sz w:val="24"/>
                <w:lang w:eastAsia="zh-CN"/>
              </w:rPr>
              <w:t>编制人员</w:t>
            </w:r>
            <w:r>
              <w:rPr>
                <w:rFonts w:hint="eastAsia" w:ascii="仿宋_GB2312" w:hAnsi="仿宋_GB2312" w:eastAsia="仿宋_GB2312" w:cs="仿宋_GB2312"/>
                <w:b w:val="0"/>
                <w:bCs/>
                <w:sz w:val="24"/>
                <w:lang w:val="en-US" w:eastAsia="zh-CN"/>
              </w:rPr>
              <w:t>81</w:t>
            </w:r>
            <w:r>
              <w:rPr>
                <w:rFonts w:hint="eastAsia" w:ascii="仿宋_GB2312" w:hAnsi="仿宋_GB2312" w:eastAsia="仿宋_GB2312" w:cs="仿宋_GB2312"/>
                <w:b w:val="0"/>
                <w:bCs/>
                <w:sz w:val="24"/>
              </w:rPr>
              <w:t>人</w:t>
            </w:r>
            <w:r>
              <w:rPr>
                <w:rFonts w:hint="eastAsia" w:ascii="仿宋_GB2312" w:hAnsi="仿宋_GB2312" w:eastAsia="仿宋_GB2312" w:cs="仿宋_GB2312"/>
                <w:b w:val="0"/>
                <w:bCs/>
                <w:sz w:val="24"/>
                <w:lang w:val="en-US" w:eastAsia="zh-CN"/>
              </w:rPr>
              <w:t>,退休28人</w:t>
            </w:r>
            <w:r>
              <w:rPr>
                <w:rFonts w:hint="eastAsia" w:ascii="仿宋_GB2312" w:hAnsi="仿宋_GB2312" w:eastAsia="仿宋_GB2312" w:cs="仿宋_GB2312"/>
                <w:b w:val="0"/>
                <w:bCs/>
                <w:sz w:val="24"/>
              </w:rPr>
              <w:t>。</w:t>
            </w:r>
          </w:p>
          <w:p>
            <w:pPr>
              <w:numPr>
                <w:ilvl w:val="0"/>
                <w:numId w:val="1"/>
              </w:numPr>
              <w:spacing w:line="56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部门（单位）整体支出规模、使用方向和主要内容、涉及范围等</w:t>
            </w:r>
          </w:p>
          <w:p>
            <w:pPr>
              <w:snapToGrid w:val="0"/>
              <w:spacing w:line="540" w:lineRule="exact"/>
              <w:ind w:firstLine="551" w:firstLineChars="197"/>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 xml:space="preserve"> </w:t>
            </w:r>
            <w:r>
              <w:rPr>
                <w:rFonts w:hint="eastAsia" w:ascii="仿宋_GB2312" w:hAnsi="仿宋_GB2312" w:eastAsia="仿宋_GB2312" w:cs="仿宋_GB2312"/>
                <w:bCs/>
                <w:sz w:val="24"/>
              </w:rPr>
              <w:t>20</w:t>
            </w:r>
            <w:r>
              <w:rPr>
                <w:rFonts w:hint="eastAsia" w:ascii="仿宋_GB2312" w:hAnsi="仿宋_GB2312" w:eastAsia="仿宋_GB2312" w:cs="仿宋_GB2312"/>
                <w:bCs/>
                <w:sz w:val="24"/>
                <w:lang w:val="en-US" w:eastAsia="zh-CN"/>
              </w:rPr>
              <w:t>22</w:t>
            </w:r>
            <w:r>
              <w:rPr>
                <w:rFonts w:hint="eastAsia" w:ascii="仿宋_GB2312" w:hAnsi="仿宋_GB2312" w:eastAsia="仿宋_GB2312" w:cs="仿宋_GB2312"/>
                <w:bCs/>
                <w:sz w:val="24"/>
              </w:rPr>
              <w:t>年，收入</w:t>
            </w:r>
            <w:r>
              <w:rPr>
                <w:rFonts w:hint="eastAsia" w:ascii="仿宋_GB2312" w:hAnsi="仿宋_GB2312" w:eastAsia="仿宋_GB2312" w:cs="仿宋_GB2312"/>
                <w:bCs/>
                <w:sz w:val="24"/>
                <w:lang w:val="en-US" w:eastAsia="zh-CN"/>
              </w:rPr>
              <w:t>1776.52</w:t>
            </w:r>
            <w:r>
              <w:rPr>
                <w:rFonts w:hint="eastAsia" w:ascii="仿宋_GB2312" w:hAnsi="仿宋_GB2312" w:eastAsia="仿宋_GB2312" w:cs="仿宋_GB2312"/>
                <w:bCs/>
                <w:sz w:val="24"/>
              </w:rPr>
              <w:t>万元，其中：财政拨款</w:t>
            </w:r>
            <w:r>
              <w:rPr>
                <w:rFonts w:hint="eastAsia" w:ascii="仿宋_GB2312" w:hAnsi="仿宋_GB2312" w:eastAsia="仿宋_GB2312" w:cs="仿宋_GB2312"/>
                <w:bCs/>
                <w:sz w:val="24"/>
                <w:lang w:eastAsia="zh-CN"/>
              </w:rPr>
              <w:t>收入</w:t>
            </w:r>
            <w:r>
              <w:rPr>
                <w:rFonts w:hint="eastAsia" w:ascii="仿宋_GB2312" w:hAnsi="仿宋_GB2312" w:eastAsia="仿宋_GB2312" w:cs="仿宋_GB2312"/>
                <w:bCs/>
                <w:sz w:val="24"/>
                <w:lang w:val="en-US" w:eastAsia="zh-CN"/>
              </w:rPr>
              <w:t>1730.72</w:t>
            </w:r>
            <w:r>
              <w:rPr>
                <w:rFonts w:hint="eastAsia" w:ascii="仿宋_GB2312" w:hAnsi="仿宋_GB2312" w:eastAsia="仿宋_GB2312" w:cs="仿宋_GB2312"/>
                <w:bCs/>
                <w:sz w:val="24"/>
              </w:rPr>
              <w:t>万元</w:t>
            </w:r>
            <w:r>
              <w:rPr>
                <w:rFonts w:hint="eastAsia" w:ascii="仿宋_GB2312" w:hAnsi="仿宋_GB2312" w:eastAsia="仿宋_GB2312" w:cs="仿宋_GB2312"/>
                <w:bCs/>
                <w:sz w:val="24"/>
                <w:lang w:eastAsia="zh-CN"/>
              </w:rPr>
              <w:t>。其他收入</w:t>
            </w:r>
            <w:r>
              <w:rPr>
                <w:rFonts w:hint="eastAsia" w:ascii="仿宋_GB2312" w:hAnsi="仿宋_GB2312" w:eastAsia="仿宋_GB2312" w:cs="仿宋_GB2312"/>
                <w:bCs/>
                <w:sz w:val="24"/>
                <w:lang w:val="en-US" w:eastAsia="zh-CN"/>
              </w:rPr>
              <w:t>45.80万元</w:t>
            </w:r>
            <w:r>
              <w:rPr>
                <w:rFonts w:hint="eastAsia" w:ascii="仿宋_GB2312" w:hAnsi="仿宋_GB2312" w:eastAsia="仿宋_GB2312" w:cs="仿宋_GB2312"/>
                <w:bCs/>
                <w:sz w:val="24"/>
              </w:rPr>
              <w:t>。</w:t>
            </w:r>
            <w:r>
              <w:rPr>
                <w:rFonts w:hint="eastAsia" w:ascii="仿宋_GB2312" w:hAnsi="仿宋_GB2312" w:eastAsia="仿宋_GB2312" w:cs="仿宋_GB2312"/>
                <w:bCs/>
                <w:sz w:val="24"/>
                <w:lang w:eastAsia="zh-CN"/>
              </w:rPr>
              <w:t>整体支出</w:t>
            </w:r>
            <w:r>
              <w:rPr>
                <w:rFonts w:hint="eastAsia" w:ascii="仿宋_GB2312" w:hAnsi="仿宋_GB2312" w:eastAsia="仿宋_GB2312" w:cs="仿宋_GB2312"/>
                <w:bCs/>
                <w:sz w:val="24"/>
                <w:lang w:val="en-US" w:eastAsia="zh-CN"/>
              </w:rPr>
              <w:t>1776.52万元，</w:t>
            </w:r>
            <w:r>
              <w:rPr>
                <w:rFonts w:hint="eastAsia" w:ascii="仿宋_GB2312" w:hAnsi="仿宋_GB2312" w:eastAsia="仿宋_GB2312" w:cs="仿宋_GB2312"/>
                <w:bCs/>
                <w:sz w:val="24"/>
              </w:rPr>
              <w:t>基本支出</w:t>
            </w:r>
            <w:r>
              <w:rPr>
                <w:rFonts w:hint="eastAsia" w:ascii="仿宋_GB2312" w:hAnsi="仿宋_GB2312" w:eastAsia="仿宋_GB2312" w:cs="仿宋_GB2312"/>
                <w:bCs/>
                <w:sz w:val="24"/>
                <w:lang w:val="en-US" w:eastAsia="zh-CN"/>
              </w:rPr>
              <w:t>1575.04</w:t>
            </w:r>
            <w:r>
              <w:rPr>
                <w:rFonts w:hint="eastAsia" w:ascii="仿宋_GB2312" w:hAnsi="仿宋_GB2312" w:eastAsia="仿宋_GB2312" w:cs="仿宋_GB2312"/>
                <w:bCs/>
                <w:sz w:val="24"/>
              </w:rPr>
              <w:t>万元，其中：</w:t>
            </w:r>
            <w:r>
              <w:rPr>
                <w:rFonts w:hint="eastAsia" w:ascii="仿宋_GB2312" w:hAnsi="仿宋_GB2312" w:eastAsia="仿宋_GB2312" w:cs="仿宋_GB2312"/>
                <w:bCs/>
                <w:sz w:val="24"/>
                <w:lang w:eastAsia="zh-CN"/>
              </w:rPr>
              <w:t>人员</w:t>
            </w:r>
            <w:r>
              <w:rPr>
                <w:rFonts w:hint="eastAsia" w:ascii="仿宋_GB2312" w:hAnsi="仿宋_GB2312" w:eastAsia="仿宋_GB2312" w:cs="仿宋_GB2312"/>
                <w:bCs/>
                <w:sz w:val="24"/>
              </w:rPr>
              <w:t>支出</w:t>
            </w:r>
            <w:r>
              <w:rPr>
                <w:rFonts w:hint="eastAsia" w:ascii="仿宋_GB2312" w:hAnsi="仿宋_GB2312" w:eastAsia="仿宋_GB2312" w:cs="仿宋_GB2312"/>
                <w:bCs/>
                <w:sz w:val="24"/>
                <w:lang w:val="en-US" w:eastAsia="zh-CN"/>
              </w:rPr>
              <w:t>1142.3</w:t>
            </w:r>
            <w:r>
              <w:rPr>
                <w:rFonts w:hint="eastAsia" w:ascii="仿宋_GB2312" w:hAnsi="仿宋_GB2312" w:eastAsia="仿宋_GB2312" w:cs="仿宋_GB2312"/>
                <w:bCs/>
                <w:sz w:val="24"/>
              </w:rPr>
              <w:t>万元、</w:t>
            </w:r>
            <w:r>
              <w:rPr>
                <w:rFonts w:hint="eastAsia" w:ascii="仿宋_GB2312" w:hAnsi="仿宋_GB2312" w:eastAsia="仿宋_GB2312" w:cs="仿宋_GB2312"/>
                <w:bCs/>
                <w:sz w:val="24"/>
                <w:lang w:eastAsia="zh-CN"/>
              </w:rPr>
              <w:t>公用</w:t>
            </w:r>
            <w:r>
              <w:rPr>
                <w:rFonts w:hint="eastAsia" w:ascii="仿宋_GB2312" w:hAnsi="仿宋_GB2312" w:eastAsia="仿宋_GB2312" w:cs="仿宋_GB2312"/>
                <w:bCs/>
                <w:sz w:val="24"/>
              </w:rPr>
              <w:t>支出</w:t>
            </w:r>
            <w:r>
              <w:rPr>
                <w:rFonts w:hint="eastAsia" w:ascii="仿宋_GB2312" w:hAnsi="仿宋_GB2312" w:eastAsia="仿宋_GB2312" w:cs="仿宋_GB2312"/>
                <w:bCs/>
                <w:sz w:val="24"/>
                <w:lang w:val="en-US" w:eastAsia="zh-CN"/>
              </w:rPr>
              <w:t>432.74</w:t>
            </w:r>
            <w:r>
              <w:rPr>
                <w:rFonts w:hint="eastAsia" w:ascii="仿宋_GB2312" w:hAnsi="仿宋_GB2312" w:eastAsia="仿宋_GB2312" w:cs="仿宋_GB2312"/>
                <w:bCs/>
                <w:sz w:val="24"/>
              </w:rPr>
              <w:t>万元，项目支出</w:t>
            </w:r>
            <w:r>
              <w:rPr>
                <w:rFonts w:hint="eastAsia" w:ascii="仿宋_GB2312" w:hAnsi="仿宋_GB2312" w:eastAsia="仿宋_GB2312" w:cs="仿宋_GB2312"/>
                <w:bCs/>
                <w:sz w:val="24"/>
                <w:lang w:val="en-US" w:eastAsia="zh-CN"/>
              </w:rPr>
              <w:t>201.48万元，主要用于</w:t>
            </w:r>
            <w:r>
              <w:rPr>
                <w:rFonts w:hint="eastAsia" w:ascii="仿宋_GB2312" w:hAnsi="仿宋_GB2312" w:eastAsia="仿宋_GB2312" w:cs="仿宋_GB2312"/>
                <w:bCs/>
                <w:sz w:val="24"/>
                <w:lang w:eastAsia="zh-CN"/>
              </w:rPr>
              <w:t>乡镇监管所工作经费、</w:t>
            </w:r>
            <w:r>
              <w:rPr>
                <w:rFonts w:hint="eastAsia" w:ascii="仿宋_GB2312" w:hAnsi="仿宋_GB2312" w:eastAsia="仿宋_GB2312" w:cs="仿宋_GB2312"/>
                <w:bCs/>
                <w:sz w:val="24"/>
              </w:rPr>
              <w:t>药品不良反应报告和监测、食品采样检测与药品医疗器械抽验、</w:t>
            </w:r>
            <w:r>
              <w:rPr>
                <w:rFonts w:hint="eastAsia" w:ascii="仿宋_GB2312" w:hAnsi="仿宋_GB2312" w:eastAsia="仿宋_GB2312" w:cs="仿宋_GB2312"/>
                <w:bCs/>
                <w:sz w:val="24"/>
                <w:lang w:eastAsia="zh-CN"/>
              </w:rPr>
              <w:t>特种设备等安全生产监管、产品质量、</w:t>
            </w:r>
            <w:r>
              <w:rPr>
                <w:rFonts w:hint="eastAsia" w:ascii="仿宋_GB2312" w:hAnsi="仿宋_GB2312" w:eastAsia="仿宋_GB2312" w:cs="仿宋_GB2312"/>
                <w:bCs/>
                <w:sz w:val="24"/>
              </w:rPr>
              <w:t>文明城市创建等。</w:t>
            </w:r>
          </w:p>
          <w:p>
            <w:pPr>
              <w:spacing w:line="56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rPr>
              <w:t>二、部门（单位）整体支出管理及使用情况</w:t>
            </w:r>
          </w:p>
          <w:p>
            <w:pPr>
              <w:spacing w:line="56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（一）基本支出</w:t>
            </w:r>
          </w:p>
          <w:p>
            <w:pPr>
              <w:spacing w:line="560" w:lineRule="exact"/>
              <w:ind w:firstLine="480" w:firstLineChars="200"/>
              <w:rPr>
                <w:rFonts w:hint="eastAsia" w:ascii="仿宋_GB2312" w:hAnsi="仿宋_GB2312" w:eastAsia="仿宋_GB2312" w:cs="仿宋_GB2312"/>
                <w:bCs/>
                <w:sz w:val="28"/>
                <w:szCs w:val="28"/>
                <w:lang w:eastAsia="zh-CN"/>
              </w:rPr>
            </w:pPr>
            <w:r>
              <w:rPr>
                <w:rFonts w:hint="eastAsia" w:ascii="仿宋_GB2312" w:hAnsi="仿宋_GB2312" w:eastAsia="仿宋_GB2312" w:cs="仿宋_GB2312"/>
                <w:bCs/>
                <w:w w:val="100"/>
                <w:sz w:val="24"/>
                <w:lang w:val="en-US" w:eastAsia="zh-CN"/>
              </w:rPr>
              <w:t>2022年</w:t>
            </w:r>
            <w:r>
              <w:rPr>
                <w:rFonts w:hint="eastAsia" w:ascii="仿宋_GB2312" w:hAnsi="仿宋_GB2312" w:eastAsia="仿宋_GB2312" w:cs="仿宋_GB2312"/>
                <w:bCs/>
                <w:w w:val="100"/>
                <w:sz w:val="24"/>
              </w:rPr>
              <w:t>基本支出</w:t>
            </w:r>
            <w:r>
              <w:rPr>
                <w:rFonts w:hint="eastAsia" w:ascii="仿宋_GB2312" w:hAnsi="仿宋_GB2312" w:eastAsia="仿宋_GB2312" w:cs="仿宋_GB2312"/>
                <w:bCs/>
                <w:sz w:val="24"/>
                <w:lang w:val="en-US" w:eastAsia="zh-CN"/>
              </w:rPr>
              <w:t>1575.04</w:t>
            </w:r>
            <w:r>
              <w:rPr>
                <w:rFonts w:hint="eastAsia" w:ascii="仿宋_GB2312" w:hAnsi="仿宋_GB2312" w:eastAsia="仿宋_GB2312" w:cs="仿宋_GB2312"/>
                <w:bCs/>
                <w:sz w:val="24"/>
              </w:rPr>
              <w:t>万元，其中：</w:t>
            </w:r>
            <w:r>
              <w:rPr>
                <w:rFonts w:hint="eastAsia" w:ascii="仿宋_GB2312" w:hAnsi="仿宋_GB2312" w:eastAsia="仿宋_GB2312" w:cs="仿宋_GB2312"/>
                <w:bCs/>
                <w:sz w:val="24"/>
                <w:lang w:eastAsia="zh-CN"/>
              </w:rPr>
              <w:t>人员</w:t>
            </w:r>
            <w:r>
              <w:rPr>
                <w:rFonts w:hint="eastAsia" w:ascii="仿宋_GB2312" w:hAnsi="仿宋_GB2312" w:eastAsia="仿宋_GB2312" w:cs="仿宋_GB2312"/>
                <w:bCs/>
                <w:sz w:val="24"/>
              </w:rPr>
              <w:t>支出</w:t>
            </w:r>
            <w:r>
              <w:rPr>
                <w:rFonts w:hint="eastAsia" w:ascii="仿宋_GB2312" w:hAnsi="仿宋_GB2312" w:eastAsia="仿宋_GB2312" w:cs="仿宋_GB2312"/>
                <w:bCs/>
                <w:sz w:val="24"/>
                <w:lang w:val="en-US" w:eastAsia="zh-CN"/>
              </w:rPr>
              <w:t>1142.3</w:t>
            </w:r>
            <w:r>
              <w:rPr>
                <w:rFonts w:hint="eastAsia" w:ascii="仿宋_GB2312" w:hAnsi="仿宋_GB2312" w:eastAsia="仿宋_GB2312" w:cs="仿宋_GB2312"/>
                <w:bCs/>
                <w:sz w:val="24"/>
              </w:rPr>
              <w:t>万元、</w:t>
            </w:r>
            <w:r>
              <w:rPr>
                <w:rFonts w:hint="eastAsia" w:ascii="仿宋_GB2312" w:hAnsi="仿宋_GB2312" w:eastAsia="仿宋_GB2312" w:cs="仿宋_GB2312"/>
                <w:bCs/>
                <w:sz w:val="24"/>
                <w:lang w:eastAsia="zh-CN"/>
              </w:rPr>
              <w:t>公用</w:t>
            </w:r>
            <w:r>
              <w:rPr>
                <w:rFonts w:hint="eastAsia" w:ascii="仿宋_GB2312" w:hAnsi="仿宋_GB2312" w:eastAsia="仿宋_GB2312" w:cs="仿宋_GB2312"/>
                <w:bCs/>
                <w:sz w:val="24"/>
              </w:rPr>
              <w:t>支出</w:t>
            </w:r>
            <w:r>
              <w:rPr>
                <w:rFonts w:hint="eastAsia" w:ascii="仿宋_GB2312" w:hAnsi="仿宋_GB2312" w:eastAsia="仿宋_GB2312" w:cs="仿宋_GB2312"/>
                <w:bCs/>
                <w:sz w:val="24"/>
                <w:lang w:val="en-US" w:eastAsia="zh-CN"/>
              </w:rPr>
              <w:t>432.74</w:t>
            </w:r>
            <w:r>
              <w:rPr>
                <w:rFonts w:hint="eastAsia" w:ascii="仿宋_GB2312" w:hAnsi="仿宋_GB2312" w:eastAsia="仿宋_GB2312" w:cs="仿宋_GB2312"/>
                <w:bCs/>
                <w:sz w:val="24"/>
              </w:rPr>
              <w:t>万元</w:t>
            </w:r>
            <w:r>
              <w:rPr>
                <w:rFonts w:hint="eastAsia" w:ascii="仿宋_GB2312" w:hAnsi="仿宋_GB2312" w:eastAsia="仿宋_GB2312" w:cs="仿宋_GB2312"/>
                <w:bCs/>
                <w:sz w:val="24"/>
                <w:lang w:eastAsia="zh-CN"/>
              </w:rPr>
              <w:t>。</w:t>
            </w:r>
          </w:p>
          <w:p>
            <w:pPr>
              <w:spacing w:line="560" w:lineRule="exact"/>
              <w:ind w:firstLine="560" w:firstLineChars="200"/>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（二）专项支出</w:t>
            </w:r>
          </w:p>
          <w:p>
            <w:pPr>
              <w:spacing w:line="560" w:lineRule="exact"/>
              <w:ind w:firstLine="560" w:firstLineChars="200"/>
              <w:rPr>
                <w:rFonts w:hint="eastAsia" w:ascii="仿宋_GB2312" w:hAnsi="仿宋_GB2312" w:eastAsia="仿宋_GB2312" w:cs="仿宋_GB2312"/>
                <w:b w:val="0"/>
                <w:bCs/>
                <w:sz w:val="28"/>
                <w:szCs w:val="28"/>
              </w:rPr>
            </w:pPr>
            <w:r>
              <w:rPr>
                <w:rFonts w:hint="eastAsia" w:ascii="仿宋_GB2312" w:hAnsi="仿宋_GB2312" w:eastAsia="仿宋_GB2312" w:cs="仿宋_GB2312"/>
                <w:bCs/>
                <w:sz w:val="28"/>
                <w:szCs w:val="28"/>
              </w:rPr>
              <w:t>1、专项资金安排落实、总投入等情况分析</w:t>
            </w:r>
            <w:r>
              <w:rPr>
                <w:rFonts w:hint="eastAsia" w:ascii="仿宋_GB2312" w:hAnsi="仿宋_GB2312" w:eastAsia="仿宋_GB2312" w:cs="仿宋_GB2312"/>
                <w:bCs/>
                <w:sz w:val="28"/>
                <w:szCs w:val="28"/>
                <w:lang w:eastAsia="zh-CN"/>
              </w:rPr>
              <w:t>：</w:t>
            </w:r>
            <w:r>
              <w:rPr>
                <w:rFonts w:hint="eastAsia" w:ascii="仿宋_GB2312" w:hAnsi="仿宋_GB2312" w:eastAsia="仿宋_GB2312" w:cs="仿宋_GB2312"/>
                <w:b w:val="0"/>
                <w:bCs/>
                <w:sz w:val="24"/>
              </w:rPr>
              <w:t>20</w:t>
            </w:r>
            <w:r>
              <w:rPr>
                <w:rFonts w:hint="eastAsia" w:ascii="仿宋_GB2312" w:hAnsi="仿宋_GB2312" w:eastAsia="仿宋_GB2312" w:cs="仿宋_GB2312"/>
                <w:b w:val="0"/>
                <w:bCs/>
                <w:sz w:val="24"/>
                <w:lang w:val="en-US" w:eastAsia="zh-CN"/>
              </w:rPr>
              <w:t>22</w:t>
            </w:r>
            <w:r>
              <w:rPr>
                <w:rFonts w:hint="eastAsia" w:ascii="仿宋_GB2312" w:hAnsi="仿宋_GB2312" w:eastAsia="仿宋_GB2312" w:cs="仿宋_GB2312"/>
                <w:b w:val="0"/>
                <w:bCs/>
                <w:sz w:val="24"/>
              </w:rPr>
              <w:t>年度，区政府预算</w:t>
            </w:r>
            <w:r>
              <w:rPr>
                <w:rFonts w:hint="eastAsia" w:ascii="仿宋_GB2312" w:hAnsi="仿宋_GB2312" w:eastAsia="仿宋_GB2312" w:cs="仿宋_GB2312"/>
                <w:b w:val="0"/>
                <w:bCs/>
                <w:sz w:val="24"/>
                <w:lang w:eastAsia="zh-CN"/>
              </w:rPr>
              <w:t>其他运转及特定</w:t>
            </w:r>
            <w:r>
              <w:rPr>
                <w:rFonts w:hint="eastAsia" w:ascii="仿宋_GB2312" w:hAnsi="仿宋_GB2312" w:eastAsia="仿宋_GB2312" w:cs="仿宋_GB2312"/>
                <w:b w:val="0"/>
                <w:bCs/>
                <w:sz w:val="24"/>
              </w:rPr>
              <w:t>项目资金</w:t>
            </w:r>
            <w:r>
              <w:rPr>
                <w:rFonts w:hint="eastAsia" w:ascii="仿宋_GB2312" w:hAnsi="仿宋_GB2312" w:eastAsia="仿宋_GB2312" w:cs="仿宋_GB2312"/>
                <w:b w:val="0"/>
                <w:bCs/>
                <w:sz w:val="24"/>
                <w:lang w:val="en-US" w:eastAsia="zh-CN"/>
              </w:rPr>
              <w:t>332</w:t>
            </w:r>
            <w:r>
              <w:rPr>
                <w:rFonts w:hint="eastAsia" w:ascii="仿宋_GB2312" w:hAnsi="仿宋_GB2312" w:eastAsia="仿宋_GB2312" w:cs="仿宋_GB2312"/>
                <w:b w:val="0"/>
                <w:bCs/>
                <w:sz w:val="24"/>
              </w:rPr>
              <w:t>万元，</w:t>
            </w:r>
            <w:r>
              <w:rPr>
                <w:rFonts w:hint="eastAsia" w:ascii="仿宋_GB2312" w:hAnsi="仿宋_GB2312" w:eastAsia="仿宋_GB2312" w:cs="仿宋_GB2312"/>
                <w:b w:val="0"/>
                <w:bCs/>
                <w:sz w:val="24"/>
                <w:lang w:eastAsia="zh-CN"/>
              </w:rPr>
              <w:t>实际收入</w:t>
            </w:r>
            <w:r>
              <w:rPr>
                <w:rFonts w:hint="eastAsia" w:ascii="仿宋_GB2312" w:hAnsi="仿宋_GB2312" w:eastAsia="仿宋_GB2312" w:cs="仿宋_GB2312"/>
                <w:b w:val="0"/>
                <w:bCs/>
                <w:sz w:val="24"/>
                <w:lang w:val="en-US" w:eastAsia="zh-CN"/>
              </w:rPr>
              <w:t>3万元，</w:t>
            </w:r>
            <w:r>
              <w:rPr>
                <w:rFonts w:hint="eastAsia" w:ascii="仿宋_GB2312" w:hAnsi="仿宋_GB2312" w:eastAsia="仿宋_GB2312" w:cs="仿宋_GB2312"/>
                <w:b w:val="0"/>
                <w:bCs/>
                <w:sz w:val="24"/>
              </w:rPr>
              <w:t>其中：</w:t>
            </w:r>
            <w:r>
              <w:rPr>
                <w:rFonts w:hint="eastAsia" w:ascii="仿宋_GB2312" w:hAnsi="仿宋_GB2312" w:eastAsia="仿宋_GB2312" w:cs="仿宋_GB2312"/>
                <w:b w:val="0"/>
                <w:bCs/>
                <w:sz w:val="24"/>
                <w:lang w:eastAsia="zh-CN"/>
              </w:rPr>
              <w:t>食品安全抽检</w:t>
            </w:r>
            <w:r>
              <w:rPr>
                <w:rFonts w:hint="eastAsia" w:ascii="仿宋_GB2312" w:hAnsi="仿宋_GB2312" w:eastAsia="仿宋_GB2312" w:cs="仿宋_GB2312"/>
                <w:b w:val="0"/>
                <w:bCs/>
                <w:sz w:val="24"/>
                <w:lang w:val="en-US" w:eastAsia="zh-CN"/>
              </w:rPr>
              <w:t>51万元</w:t>
            </w:r>
            <w:r>
              <w:rPr>
                <w:rFonts w:hint="eastAsia" w:ascii="仿宋_GB2312" w:hAnsi="仿宋_GB2312" w:eastAsia="仿宋_GB2312" w:cs="仿宋_GB2312"/>
                <w:b w:val="0"/>
                <w:bCs/>
                <w:sz w:val="24"/>
                <w:lang w:eastAsia="zh-CN"/>
              </w:rPr>
              <w:t>、市场监管</w:t>
            </w:r>
            <w:r>
              <w:rPr>
                <w:rFonts w:hint="eastAsia" w:ascii="仿宋_GB2312" w:hAnsi="仿宋_GB2312" w:eastAsia="仿宋_GB2312" w:cs="仿宋_GB2312"/>
                <w:b w:val="0"/>
                <w:bCs/>
                <w:sz w:val="24"/>
                <w:lang w:val="en-US" w:eastAsia="zh-CN"/>
              </w:rPr>
              <w:t>98万元、知识产权45万元、食品安全监管80万元、非税收入执收成本58万元</w:t>
            </w:r>
            <w:r>
              <w:rPr>
                <w:rFonts w:hint="eastAsia" w:ascii="仿宋_GB2312" w:hAnsi="仿宋_GB2312" w:eastAsia="仿宋_GB2312" w:cs="仿宋_GB2312"/>
                <w:b w:val="0"/>
                <w:bCs/>
                <w:sz w:val="24"/>
                <w:lang w:eastAsia="zh-CN"/>
              </w:rPr>
              <w:t>，</w:t>
            </w:r>
            <w:r>
              <w:rPr>
                <w:rFonts w:hint="eastAsia" w:ascii="仿宋_GB2312" w:hAnsi="仿宋_GB2312" w:eastAsia="仿宋_GB2312" w:cs="仿宋_GB2312"/>
                <w:b w:val="0"/>
                <w:bCs/>
                <w:sz w:val="24"/>
                <w:lang w:val="en-US" w:eastAsia="zh-CN"/>
              </w:rPr>
              <w:t>中央食品补助资金25万元，中央药品补助资金2万元、省局专项资金5万元</w:t>
            </w:r>
            <w:r>
              <w:rPr>
                <w:rFonts w:hint="eastAsia" w:ascii="仿宋_GB2312" w:hAnsi="仿宋_GB2312" w:eastAsia="仿宋_GB2312" w:cs="仿宋_GB2312"/>
                <w:b w:val="0"/>
                <w:bCs/>
                <w:sz w:val="24"/>
                <w:lang w:eastAsia="zh-CN"/>
              </w:rPr>
              <w:t>。</w:t>
            </w:r>
          </w:p>
          <w:p>
            <w:pPr>
              <w:numPr>
                <w:ilvl w:val="0"/>
                <w:numId w:val="2"/>
              </w:numPr>
              <w:spacing w:line="560" w:lineRule="exact"/>
              <w:ind w:firstLine="560" w:firstLineChars="200"/>
              <w:rPr>
                <w:rFonts w:hint="eastAsia" w:ascii="仿宋_GB2312" w:hAnsi="仿宋_GB2312" w:eastAsia="仿宋_GB2312" w:cs="仿宋_GB2312"/>
                <w:bCs/>
                <w:sz w:val="24"/>
                <w:szCs w:val="24"/>
              </w:rPr>
            </w:pPr>
            <w:r>
              <w:rPr>
                <w:rFonts w:hint="eastAsia" w:ascii="仿宋_GB2312" w:hAnsi="仿宋_GB2312" w:eastAsia="仿宋_GB2312" w:cs="仿宋_GB2312"/>
                <w:bCs/>
                <w:sz w:val="28"/>
                <w:szCs w:val="28"/>
              </w:rPr>
              <w:t>专项资金实际使用情况分析</w:t>
            </w:r>
            <w:r>
              <w:rPr>
                <w:rFonts w:hint="eastAsia" w:ascii="仿宋_GB2312" w:hAnsi="仿宋_GB2312" w:eastAsia="仿宋_GB2312" w:cs="仿宋_GB2312"/>
                <w:bCs/>
                <w:sz w:val="28"/>
                <w:szCs w:val="28"/>
                <w:lang w:eastAsia="zh-CN"/>
              </w:rPr>
              <w:t>：</w:t>
            </w:r>
            <w:r>
              <w:rPr>
                <w:rFonts w:hint="eastAsia" w:ascii="仿宋_GB2312" w:hAnsi="仿宋_GB2312" w:eastAsia="仿宋_GB2312" w:cs="仿宋_GB2312"/>
                <w:bCs/>
                <w:sz w:val="24"/>
                <w:szCs w:val="24"/>
                <w:lang w:eastAsia="zh-CN"/>
              </w:rPr>
              <w:t>本年专项资金支出</w:t>
            </w:r>
            <w:r>
              <w:rPr>
                <w:rFonts w:hint="eastAsia" w:ascii="仿宋_GB2312" w:hAnsi="仿宋_GB2312" w:eastAsia="仿宋_GB2312" w:cs="仿宋_GB2312"/>
                <w:bCs/>
                <w:color w:val="auto"/>
                <w:sz w:val="24"/>
                <w:szCs w:val="24"/>
                <w:lang w:val="en-US" w:eastAsia="zh-CN"/>
              </w:rPr>
              <w:t>201.48</w:t>
            </w:r>
            <w:r>
              <w:rPr>
                <w:rFonts w:hint="eastAsia" w:ascii="仿宋_GB2312" w:hAnsi="仿宋_GB2312" w:eastAsia="仿宋_GB2312" w:cs="仿宋_GB2312"/>
                <w:bCs/>
                <w:sz w:val="24"/>
                <w:szCs w:val="24"/>
                <w:lang w:val="en-US" w:eastAsia="zh-CN"/>
              </w:rPr>
              <w:t>万元，比上年增加76.17万元，增加37.81。</w:t>
            </w:r>
          </w:p>
          <w:p>
            <w:pPr>
              <w:numPr>
                <w:ilvl w:val="0"/>
                <w:numId w:val="2"/>
              </w:numPr>
              <w:spacing w:line="560" w:lineRule="exact"/>
              <w:ind w:left="0" w:leftChars="0" w:firstLine="560" w:firstLineChars="200"/>
              <w:rPr>
                <w:rFonts w:hint="eastAsia" w:ascii="仿宋_GB2312" w:hAnsi="仿宋_GB2312" w:eastAsia="仿宋_GB2312" w:cs="仿宋_GB2312"/>
                <w:bCs/>
                <w:sz w:val="24"/>
                <w:szCs w:val="24"/>
                <w:lang w:eastAsia="zh-CN"/>
              </w:rPr>
            </w:pPr>
            <w:r>
              <w:rPr>
                <w:rFonts w:hint="eastAsia" w:ascii="仿宋_GB2312" w:hAnsi="仿宋_GB2312" w:eastAsia="仿宋_GB2312" w:cs="仿宋_GB2312"/>
                <w:bCs/>
                <w:sz w:val="28"/>
                <w:szCs w:val="28"/>
              </w:rPr>
              <w:t>专项资金管理情况分析</w:t>
            </w:r>
            <w:r>
              <w:rPr>
                <w:rFonts w:hint="eastAsia" w:ascii="仿宋_GB2312" w:hAnsi="仿宋_GB2312" w:eastAsia="仿宋_GB2312" w:cs="仿宋_GB2312"/>
                <w:bCs/>
                <w:sz w:val="28"/>
                <w:szCs w:val="28"/>
                <w:lang w:eastAsia="zh-CN"/>
              </w:rPr>
              <w:t>：</w:t>
            </w:r>
            <w:r>
              <w:rPr>
                <w:rFonts w:hint="eastAsia" w:ascii="仿宋_GB2312" w:hAnsi="仿宋_GB2312" w:eastAsia="仿宋_GB2312" w:cs="仿宋_GB2312"/>
                <w:bCs/>
                <w:sz w:val="24"/>
                <w:szCs w:val="24"/>
                <w:lang w:eastAsia="zh-CN"/>
              </w:rPr>
              <w:t>评价小组对项目资金管理进行了现场评价，评价表明：一是资金支付依据合法合规，资金审批程序严格；二是项目资金基本做到了专款专用。</w:t>
            </w:r>
          </w:p>
          <w:p>
            <w:pPr>
              <w:numPr>
                <w:ilvl w:val="0"/>
                <w:numId w:val="0"/>
              </w:numPr>
              <w:spacing w:line="560" w:lineRule="exact"/>
              <w:ind w:leftChars="200" w:firstLine="280" w:firstLineChars="100"/>
              <w:rPr>
                <w:rFonts w:hint="eastAsia" w:ascii="黑体" w:hAnsi="黑体" w:eastAsia="黑体" w:cs="黑体"/>
                <w:bCs/>
                <w:sz w:val="28"/>
                <w:szCs w:val="28"/>
              </w:rPr>
            </w:pPr>
            <w:r>
              <w:rPr>
                <w:rFonts w:hint="eastAsia" w:ascii="黑体" w:hAnsi="黑体" w:eastAsia="黑体" w:cs="黑体"/>
                <w:bCs/>
                <w:sz w:val="28"/>
                <w:szCs w:val="28"/>
              </w:rPr>
              <w:t>三、部门（单位）专项组织实施情况</w:t>
            </w:r>
          </w:p>
          <w:p>
            <w:pPr>
              <w:spacing w:line="56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（一）专项组织情况分析</w:t>
            </w:r>
          </w:p>
          <w:p>
            <w:pPr>
              <w:adjustRightInd w:val="0"/>
              <w:snapToGrid w:val="0"/>
              <w:spacing w:line="58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我局</w:t>
            </w:r>
            <w:r>
              <w:rPr>
                <w:rFonts w:hint="eastAsia" w:ascii="仿宋_GB2312" w:hAnsi="仿宋_GB2312" w:eastAsia="仿宋_GB2312" w:cs="仿宋_GB2312"/>
                <w:sz w:val="24"/>
                <w:szCs w:val="24"/>
              </w:rPr>
              <w:t>能够严格执行市、区财政局有关制度规定，对项目资金做到专项核算、专款专用，加强预算管理，没有出现违反财经纪律现象。</w:t>
            </w:r>
          </w:p>
          <w:p>
            <w:pPr>
              <w:numPr>
                <w:ilvl w:val="0"/>
                <w:numId w:val="1"/>
              </w:numPr>
              <w:spacing w:line="560" w:lineRule="exact"/>
              <w:ind w:left="0" w:leftChars="0"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专项管理情况分析</w:t>
            </w:r>
          </w:p>
          <w:p>
            <w:pPr>
              <w:snapToGrid w:val="0"/>
              <w:spacing w:line="540" w:lineRule="exact"/>
              <w:ind w:firstLine="480" w:firstLineChars="200"/>
              <w:rPr>
                <w:rFonts w:hint="eastAsia" w:ascii="仿宋_GB2312" w:hAnsi="仿宋_GB2312" w:eastAsia="仿宋_GB2312" w:cs="仿宋_GB2312"/>
                <w:bCs/>
                <w:sz w:val="28"/>
                <w:szCs w:val="28"/>
              </w:rPr>
            </w:pPr>
            <w:r>
              <w:rPr>
                <w:rFonts w:hint="eastAsia" w:ascii="仿宋_GB2312" w:hAnsi="仿宋_GB2312" w:eastAsia="仿宋_GB2312" w:cs="仿宋_GB2312"/>
                <w:b w:val="0"/>
                <w:bCs/>
                <w:sz w:val="24"/>
              </w:rPr>
              <w:t>在专项资金的管理方面，局党</w:t>
            </w:r>
            <w:r>
              <w:rPr>
                <w:rFonts w:hint="eastAsia" w:ascii="仿宋_GB2312" w:hAnsi="仿宋_GB2312" w:eastAsia="仿宋_GB2312" w:cs="仿宋_GB2312"/>
                <w:b w:val="0"/>
                <w:bCs/>
                <w:sz w:val="24"/>
                <w:lang w:eastAsia="zh-CN"/>
              </w:rPr>
              <w:t>委</w:t>
            </w:r>
            <w:r>
              <w:rPr>
                <w:rFonts w:hint="eastAsia" w:ascii="仿宋_GB2312" w:hAnsi="仿宋_GB2312" w:eastAsia="仿宋_GB2312" w:cs="仿宋_GB2312"/>
                <w:b w:val="0"/>
                <w:bCs/>
                <w:sz w:val="24"/>
              </w:rPr>
              <w:t>建立了《财务管理制度》、《</w:t>
            </w:r>
            <w:r>
              <w:rPr>
                <w:rFonts w:hint="eastAsia" w:ascii="仿宋_GB2312" w:hAnsi="仿宋_GB2312" w:eastAsia="仿宋_GB2312" w:cs="仿宋_GB2312"/>
                <w:b w:val="0"/>
                <w:bCs/>
                <w:sz w:val="24"/>
                <w:lang w:eastAsia="zh-CN"/>
              </w:rPr>
              <w:t>专项资金</w:t>
            </w:r>
            <w:r>
              <w:rPr>
                <w:rFonts w:hint="eastAsia" w:ascii="仿宋_GB2312" w:hAnsi="仿宋_GB2312" w:eastAsia="仿宋_GB2312" w:cs="仿宋_GB2312"/>
                <w:b w:val="0"/>
                <w:bCs/>
                <w:sz w:val="24"/>
              </w:rPr>
              <w:t>管理制度》规范了财政审批程序及资金拨付流程，严格遵守执行，同时，对项目资金定期调度评估，科学合理安排，确保把有限的资金用在刀刃上。</w:t>
            </w:r>
          </w:p>
          <w:p>
            <w:pPr>
              <w:spacing w:line="56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rPr>
              <w:t>四、部门（单位）整体支出绩效情况</w:t>
            </w:r>
          </w:p>
          <w:p>
            <w:pPr>
              <w:snapToGrid w:val="0"/>
              <w:spacing w:line="540" w:lineRule="exact"/>
              <w:ind w:firstLine="480" w:firstLineChars="200"/>
              <w:rPr>
                <w:rFonts w:hint="eastAsia" w:ascii="仿宋_GB2312" w:hAnsi="仿宋_GB2312" w:eastAsia="仿宋_GB2312" w:cs="仿宋_GB2312"/>
                <w:bCs/>
                <w:sz w:val="24"/>
                <w:lang w:val="en-US" w:eastAsia="zh-CN"/>
              </w:rPr>
            </w:pPr>
            <w:r>
              <w:rPr>
                <w:rFonts w:hint="eastAsia" w:ascii="仿宋_GB2312" w:hAnsi="仿宋_GB2312" w:eastAsia="仿宋_GB2312" w:cs="仿宋_GB2312"/>
                <w:bCs/>
                <w:sz w:val="24"/>
              </w:rPr>
              <w:t>1、</w:t>
            </w:r>
            <w:r>
              <w:rPr>
                <w:rFonts w:hint="eastAsia" w:ascii="仿宋_GB2312" w:hAnsi="仿宋_GB2312" w:eastAsia="仿宋_GB2312" w:cs="仿宋_GB2312"/>
                <w:bCs/>
                <w:sz w:val="24"/>
                <w:lang w:eastAsia="zh-CN"/>
              </w:rPr>
              <w:t>部门整体支出情况分析。</w:t>
            </w:r>
            <w:r>
              <w:rPr>
                <w:rFonts w:hint="eastAsia" w:ascii="仿宋_GB2312" w:hAnsi="仿宋_GB2312" w:eastAsia="仿宋_GB2312" w:cs="仿宋_GB2312"/>
                <w:bCs/>
                <w:sz w:val="24"/>
                <w:lang w:val="en-US" w:eastAsia="zh-CN"/>
              </w:rPr>
              <w:t>2022年区市场监管局整体支出1776.52万元，其中基本支出1575.04万元，占总支出的88.66%，人员支出1142.3万元，占基本支出的72.53%，公用支出432.74万元，占基本支出的27.47%；项目支出201.48万元，占总支出的11.34%。</w:t>
            </w:r>
          </w:p>
          <w:p>
            <w:pPr>
              <w:snapToGrid w:val="0"/>
              <w:spacing w:line="540" w:lineRule="exact"/>
              <w:ind w:firstLine="480" w:firstLineChars="200"/>
              <w:rPr>
                <w:rFonts w:hint="eastAsia" w:ascii="仿宋_GB2312" w:eastAsia="仿宋_GB2312"/>
                <w:sz w:val="24"/>
                <w:szCs w:val="24"/>
                <w:lang w:val="zh-CN"/>
              </w:rPr>
            </w:pPr>
            <w:r>
              <w:rPr>
                <w:rFonts w:hint="eastAsia" w:ascii="仿宋_GB2312" w:hAnsi="仿宋_GB2312" w:eastAsia="仿宋_GB2312" w:cs="仿宋_GB2312"/>
                <w:bCs/>
                <w:sz w:val="24"/>
                <w:lang w:val="en-US" w:eastAsia="zh-CN"/>
              </w:rPr>
              <w:t>2、“三公”经费支出情况分析。2022年区市场监管局“三公”经费预算40万元，实际支出23.49万元，完成预算的58.72%。减少的原因主要是</w:t>
            </w:r>
            <w:r>
              <w:rPr>
                <w:rFonts w:hint="eastAsia" w:ascii="仿宋_GB2312" w:eastAsia="仿宋_GB2312"/>
                <w:sz w:val="24"/>
                <w:szCs w:val="24"/>
                <w:lang w:val="zh-CN"/>
              </w:rPr>
              <w:t>单位严格执行中央、省、市、区厉行节约的规定，所有接待都在食堂就餐，</w:t>
            </w:r>
            <w:r>
              <w:rPr>
                <w:rFonts w:hint="eastAsia" w:ascii="仿宋_GB2312" w:eastAsia="仿宋_GB2312"/>
                <w:sz w:val="24"/>
                <w:szCs w:val="24"/>
              </w:rPr>
              <w:t>所有</w:t>
            </w:r>
            <w:r>
              <w:rPr>
                <w:rFonts w:hint="eastAsia" w:ascii="仿宋_GB2312" w:eastAsia="仿宋_GB2312"/>
                <w:sz w:val="24"/>
                <w:szCs w:val="24"/>
                <w:lang w:val="zh-CN"/>
              </w:rPr>
              <w:t>公务用车严格执行上级规定，实行用车登记。</w:t>
            </w:r>
          </w:p>
          <w:p>
            <w:pPr>
              <w:snapToGrid w:val="0"/>
              <w:spacing w:line="540" w:lineRule="exact"/>
              <w:ind w:firstLine="480" w:firstLineChars="200"/>
              <w:rPr>
                <w:rFonts w:hint="eastAsia" w:ascii="仿宋_GB2312" w:hAnsi="仿宋_GB2312" w:eastAsia="仿宋_GB2312" w:cs="仿宋_GB2312"/>
                <w:sz w:val="24"/>
                <w:szCs w:val="24"/>
                <w:lang w:eastAsia="zh-CN"/>
              </w:rPr>
            </w:pPr>
            <w:r>
              <w:rPr>
                <w:rFonts w:hint="eastAsia" w:ascii="仿宋_GB2312" w:eastAsia="仿宋_GB2312"/>
                <w:sz w:val="24"/>
                <w:szCs w:val="24"/>
                <w:lang w:val="en-US" w:eastAsia="zh-CN"/>
              </w:rPr>
              <w:t>3、固定资产管理情况分析。</w:t>
            </w:r>
            <w:r>
              <w:rPr>
                <w:rFonts w:hint="eastAsia" w:ascii="仿宋_GB2312" w:hAnsi="仿宋_GB2312" w:eastAsia="仿宋_GB2312" w:cs="仿宋_GB2312"/>
                <w:sz w:val="24"/>
                <w:szCs w:val="24"/>
              </w:rPr>
              <w:t>加强国有资产管理，认真搞好了资产清查盘点，20</w:t>
            </w:r>
            <w:r>
              <w:rPr>
                <w:rFonts w:hint="eastAsia" w:ascii="仿宋_GB2312" w:hAnsi="仿宋_GB2312" w:eastAsia="仿宋_GB2312" w:cs="仿宋_GB2312"/>
                <w:sz w:val="24"/>
                <w:szCs w:val="24"/>
                <w:lang w:val="en-US" w:eastAsia="zh-CN"/>
              </w:rPr>
              <w:t>22</w:t>
            </w:r>
            <w:r>
              <w:rPr>
                <w:rFonts w:hint="eastAsia" w:ascii="仿宋_GB2312" w:hAnsi="仿宋_GB2312" w:eastAsia="仿宋_GB2312" w:cs="仿宋_GB2312"/>
                <w:sz w:val="24"/>
                <w:szCs w:val="24"/>
              </w:rPr>
              <w:t>年，分局财务与办公室对分局所有固定资产进行认真细致地清理盘点。通过盘点，及时发现和堵塞了资产管理中的漏洞，妥善处理和解决管理中出现的各种问题，合理配置资源，提高了资源使用效益。 20</w:t>
            </w:r>
            <w:r>
              <w:rPr>
                <w:rFonts w:hint="eastAsia" w:ascii="仿宋_GB2312" w:hAnsi="仿宋_GB2312" w:eastAsia="仿宋_GB2312" w:cs="仿宋_GB2312"/>
                <w:sz w:val="24"/>
                <w:szCs w:val="24"/>
                <w:lang w:val="en-US" w:eastAsia="zh-CN"/>
              </w:rPr>
              <w:t>22</w:t>
            </w:r>
            <w:r>
              <w:rPr>
                <w:rFonts w:hint="eastAsia" w:ascii="仿宋_GB2312" w:hAnsi="仿宋_GB2312" w:eastAsia="仿宋_GB2312" w:cs="仿宋_GB2312"/>
                <w:sz w:val="24"/>
                <w:szCs w:val="24"/>
              </w:rPr>
              <w:t>年新增固定资产</w:t>
            </w:r>
            <w:r>
              <w:rPr>
                <w:rFonts w:hint="eastAsia" w:ascii="仿宋_GB2312" w:hAnsi="仿宋_GB2312" w:eastAsia="仿宋_GB2312" w:cs="仿宋_GB2312"/>
                <w:sz w:val="24"/>
                <w:szCs w:val="24"/>
                <w:lang w:val="en-US" w:eastAsia="zh-CN"/>
              </w:rPr>
              <w:t>7.21</w:t>
            </w:r>
            <w:r>
              <w:rPr>
                <w:rFonts w:hint="eastAsia" w:ascii="仿宋_GB2312" w:hAnsi="仿宋_GB2312" w:eastAsia="仿宋_GB2312" w:cs="仿宋_GB2312"/>
                <w:sz w:val="24"/>
                <w:szCs w:val="24"/>
              </w:rPr>
              <w:t>万元</w:t>
            </w:r>
            <w:r>
              <w:rPr>
                <w:rFonts w:hint="eastAsia" w:ascii="仿宋_GB2312" w:hAnsi="仿宋_GB2312" w:eastAsia="仿宋_GB2312" w:cs="仿宋_GB2312"/>
                <w:sz w:val="24"/>
                <w:szCs w:val="24"/>
                <w:lang w:eastAsia="zh-CN"/>
              </w:rPr>
              <w:t>。</w:t>
            </w:r>
            <w:bookmarkStart w:id="0" w:name="_GoBack"/>
            <w:bookmarkEnd w:id="0"/>
          </w:p>
          <w:p>
            <w:pPr>
              <w:snapToGrid w:val="0"/>
              <w:spacing w:line="54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rPr>
              <w:t>五、存在的主要问题</w:t>
            </w:r>
          </w:p>
          <w:p>
            <w:pPr>
              <w:snapToGrid w:val="0"/>
              <w:spacing w:line="540" w:lineRule="exact"/>
              <w:ind w:firstLine="472" w:firstLineChars="197"/>
              <w:rPr>
                <w:rFonts w:hint="eastAsia" w:ascii="仿宋_GB2312" w:hAnsi="仿宋_GB2312" w:eastAsia="仿宋_GB2312" w:cs="仿宋_GB2312"/>
                <w:bCs/>
                <w:sz w:val="24"/>
              </w:rPr>
            </w:pPr>
            <w:r>
              <w:rPr>
                <w:rFonts w:hint="eastAsia" w:ascii="仿宋_GB2312" w:hAnsi="仿宋_GB2312" w:eastAsia="仿宋_GB2312" w:cs="仿宋_GB2312"/>
                <w:bCs/>
                <w:sz w:val="24"/>
              </w:rPr>
              <w:t>1、资金投入不足，无满足抽样检测的需求。根据《药品管理法》和《食品安全法》、“四品一械”抽样检测费用（含样品购买费）应纳入地方财政预算并足额保证抽样覆盖面100%</w:t>
            </w:r>
            <w:r>
              <w:rPr>
                <w:rFonts w:hint="eastAsia" w:ascii="仿宋_GB2312" w:hAnsi="仿宋_GB2312" w:eastAsia="仿宋_GB2312" w:cs="仿宋_GB2312"/>
                <w:bCs/>
                <w:sz w:val="24"/>
                <w:lang w:eastAsia="zh-CN"/>
              </w:rPr>
              <w:t>，</w:t>
            </w:r>
            <w:r>
              <w:rPr>
                <w:rFonts w:hint="eastAsia" w:ascii="仿宋_GB2312" w:hAnsi="仿宋_GB2312" w:eastAsia="仿宋_GB2312" w:cs="仿宋_GB2312"/>
                <w:bCs/>
                <w:sz w:val="24"/>
              </w:rPr>
              <w:t>抽样检测经费严重不足。</w:t>
            </w:r>
          </w:p>
          <w:p>
            <w:pPr>
              <w:snapToGrid w:val="0"/>
              <w:spacing w:line="540" w:lineRule="exact"/>
              <w:ind w:firstLine="472" w:firstLineChars="197"/>
              <w:rPr>
                <w:rFonts w:hint="eastAsia" w:ascii="仿宋_GB2312" w:hAnsi="仿宋_GB2312" w:eastAsia="仿宋_GB2312" w:cs="仿宋_GB2312"/>
                <w:bCs/>
                <w:sz w:val="24"/>
              </w:rPr>
            </w:pPr>
            <w:r>
              <w:rPr>
                <w:rFonts w:hint="eastAsia" w:ascii="仿宋_GB2312" w:hAnsi="仿宋_GB2312" w:eastAsia="仿宋_GB2312" w:cs="仿宋_GB2312"/>
                <w:bCs/>
                <w:sz w:val="24"/>
              </w:rPr>
              <w:t>2、监管能力不足，监管效率有待进一步加强。专业技术人员缺乏，保障机制不完善。</w:t>
            </w:r>
          </w:p>
          <w:p>
            <w:pPr>
              <w:snapToGrid w:val="0"/>
              <w:spacing w:line="540" w:lineRule="exact"/>
              <w:ind w:firstLine="472" w:firstLineChars="197"/>
              <w:rPr>
                <w:rFonts w:hint="eastAsia" w:ascii="仿宋_GB2312" w:hAnsi="仿宋_GB2312" w:eastAsia="仿宋_GB2312" w:cs="仿宋_GB2312"/>
                <w:bCs/>
                <w:sz w:val="24"/>
              </w:rPr>
            </w:pPr>
            <w:r>
              <w:rPr>
                <w:rFonts w:hint="eastAsia" w:ascii="仿宋_GB2312" w:hAnsi="仿宋_GB2312" w:eastAsia="仿宋_GB2312" w:cs="仿宋_GB2312"/>
                <w:bCs/>
                <w:sz w:val="24"/>
              </w:rPr>
              <w:t>3、技术装备落后。</w:t>
            </w:r>
            <w:r>
              <w:rPr>
                <w:rFonts w:hint="eastAsia" w:ascii="仿宋_GB2312" w:hAnsi="仿宋_GB2312" w:eastAsia="仿宋_GB2312" w:cs="仿宋_GB2312"/>
                <w:bCs/>
                <w:sz w:val="24"/>
                <w:lang w:eastAsia="zh-CN"/>
              </w:rPr>
              <w:t>全局仅有</w:t>
            </w:r>
            <w:r>
              <w:rPr>
                <w:rFonts w:hint="eastAsia" w:ascii="仿宋_GB2312" w:hAnsi="仿宋_GB2312" w:eastAsia="仿宋_GB2312" w:cs="仿宋_GB2312"/>
                <w:bCs/>
                <w:sz w:val="24"/>
                <w:lang w:val="en-US" w:eastAsia="zh-CN"/>
              </w:rPr>
              <w:t>1</w:t>
            </w:r>
            <w:r>
              <w:rPr>
                <w:rFonts w:hint="eastAsia" w:ascii="仿宋_GB2312" w:hAnsi="仿宋_GB2312" w:eastAsia="仿宋_GB2312" w:cs="仿宋_GB2312"/>
                <w:bCs/>
                <w:sz w:val="24"/>
                <w:lang w:eastAsia="zh-CN"/>
              </w:rPr>
              <w:t>台</w:t>
            </w:r>
            <w:r>
              <w:rPr>
                <w:rFonts w:hint="eastAsia" w:ascii="仿宋_GB2312" w:hAnsi="仿宋_GB2312" w:eastAsia="仿宋_GB2312" w:cs="仿宋_GB2312"/>
                <w:bCs/>
                <w:sz w:val="24"/>
              </w:rPr>
              <w:t>监管执法专用车辆，</w:t>
            </w:r>
            <w:r>
              <w:rPr>
                <w:rFonts w:hint="eastAsia" w:ascii="仿宋_GB2312" w:hAnsi="仿宋_GB2312" w:eastAsia="仿宋_GB2312" w:cs="仿宋_GB2312"/>
                <w:bCs/>
                <w:sz w:val="24"/>
                <w:lang w:val="en-US" w:eastAsia="zh-CN"/>
              </w:rPr>
              <w:t>5</w:t>
            </w:r>
            <w:r>
              <w:rPr>
                <w:rFonts w:hint="eastAsia" w:ascii="仿宋_GB2312" w:hAnsi="仿宋_GB2312" w:eastAsia="仿宋_GB2312" w:cs="仿宋_GB2312"/>
                <w:bCs/>
                <w:sz w:val="24"/>
                <w:lang w:eastAsia="zh-CN"/>
              </w:rPr>
              <w:t>个基层所监督检查</w:t>
            </w:r>
            <w:r>
              <w:rPr>
                <w:rFonts w:hint="eastAsia" w:ascii="仿宋_GB2312" w:hAnsi="仿宋_GB2312" w:eastAsia="仿宋_GB2312" w:cs="仿宋_GB2312"/>
                <w:bCs/>
                <w:sz w:val="24"/>
              </w:rPr>
              <w:t>还停留在“望”“闻”“问”等原始阶段，它执法装备也相对落后，无法适应现代监督执法的需要。</w:t>
            </w:r>
          </w:p>
          <w:p>
            <w:pPr>
              <w:snapToGrid w:val="0"/>
              <w:spacing w:line="540" w:lineRule="exact"/>
              <w:ind w:firstLine="472" w:firstLineChars="197"/>
              <w:rPr>
                <w:rFonts w:hint="eastAsia" w:ascii="仿宋_GB2312" w:hAnsi="仿宋_GB2312" w:eastAsia="仿宋_GB2312" w:cs="仿宋_GB2312"/>
                <w:bCs/>
                <w:sz w:val="28"/>
                <w:szCs w:val="28"/>
              </w:rPr>
            </w:pPr>
            <w:r>
              <w:rPr>
                <w:rFonts w:hint="eastAsia" w:ascii="仿宋_GB2312" w:hAnsi="仿宋_GB2312" w:eastAsia="仿宋_GB2312" w:cs="仿宋_GB2312"/>
                <w:bCs/>
                <w:sz w:val="24"/>
              </w:rPr>
              <w:t>4、宣传教育培训经费投入不够，社会共治局面难以形成。由于传统消费习惯，从业人员素质及消费者的法制观念、道德水准、维权意识整体不强，宣传教育培训函待一个漫长持久的过程，需要广泛宣传发动，强力培训才能实现，必须有财政资金来保障实施。</w:t>
            </w:r>
          </w:p>
          <w:p>
            <w:pPr>
              <w:numPr>
                <w:ilvl w:val="0"/>
                <w:numId w:val="3"/>
              </w:numPr>
              <w:spacing w:line="56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rPr>
              <w:t>改进措施和有关建议</w:t>
            </w:r>
          </w:p>
          <w:p>
            <w:pPr>
              <w:snapToGrid w:val="0"/>
              <w:spacing w:line="540" w:lineRule="exact"/>
              <w:ind w:firstLine="472" w:firstLineChars="197"/>
              <w:rPr>
                <w:rFonts w:hint="eastAsia" w:ascii="仿宋_GB2312" w:hAnsi="仿宋_GB2312" w:eastAsia="仿宋_GB2312" w:cs="仿宋_GB2312"/>
                <w:bCs/>
                <w:sz w:val="24"/>
              </w:rPr>
            </w:pPr>
            <w:r>
              <w:rPr>
                <w:rFonts w:hint="eastAsia" w:ascii="仿宋_GB2312" w:hAnsi="仿宋_GB2312" w:eastAsia="仿宋_GB2312" w:cs="仿宋_GB2312"/>
                <w:bCs/>
                <w:sz w:val="24"/>
              </w:rPr>
              <w:t>1、加强组织建设，培养专业人才队伍。</w:t>
            </w:r>
          </w:p>
          <w:p>
            <w:pPr>
              <w:snapToGrid w:val="0"/>
              <w:spacing w:line="540" w:lineRule="exact"/>
              <w:ind w:firstLine="472" w:firstLineChars="197"/>
              <w:rPr>
                <w:rFonts w:hint="eastAsia" w:ascii="仿宋_GB2312" w:hAnsi="仿宋_GB2312" w:eastAsia="仿宋_GB2312" w:cs="仿宋_GB2312"/>
                <w:bCs/>
                <w:sz w:val="24"/>
              </w:rPr>
            </w:pPr>
            <w:r>
              <w:rPr>
                <w:rFonts w:hint="eastAsia" w:ascii="仿宋_GB2312" w:hAnsi="仿宋_GB2312" w:eastAsia="仿宋_GB2312" w:cs="仿宋_GB2312"/>
                <w:bCs/>
                <w:sz w:val="24"/>
              </w:rPr>
              <w:t>2、完善安全信用体系，推进企业诚信建设。</w:t>
            </w:r>
          </w:p>
          <w:p>
            <w:pPr>
              <w:tabs>
                <w:tab w:val="left" w:pos="3851"/>
              </w:tabs>
              <w:snapToGrid w:val="0"/>
              <w:spacing w:line="540" w:lineRule="exact"/>
              <w:ind w:firstLine="472" w:firstLineChars="197"/>
              <w:rPr>
                <w:rFonts w:hint="eastAsia" w:ascii="仿宋_GB2312" w:hAnsi="仿宋_GB2312" w:eastAsia="仿宋_GB2312" w:cs="仿宋_GB2312"/>
                <w:bCs/>
                <w:sz w:val="24"/>
              </w:rPr>
            </w:pPr>
            <w:r>
              <w:rPr>
                <w:rFonts w:hint="eastAsia" w:ascii="仿宋_GB2312" w:hAnsi="仿宋_GB2312" w:eastAsia="仿宋_GB2312" w:cs="仿宋_GB2312"/>
                <w:bCs/>
                <w:sz w:val="24"/>
              </w:rPr>
              <w:t>3、加大人、财、物扶持、增加预算投入。</w:t>
            </w:r>
          </w:p>
          <w:p>
            <w:pPr>
              <w:numPr>
                <w:ilvl w:val="0"/>
                <w:numId w:val="0"/>
              </w:numPr>
              <w:spacing w:line="560" w:lineRule="exact"/>
              <w:ind w:firstLine="480" w:firstLineChars="200"/>
              <w:rPr>
                <w:rFonts w:eastAsia="楷体_GB2312"/>
                <w:bCs/>
                <w:sz w:val="28"/>
                <w:szCs w:val="28"/>
              </w:rPr>
            </w:pPr>
            <w:r>
              <w:rPr>
                <w:rFonts w:hint="eastAsia" w:ascii="仿宋_GB2312" w:hAnsi="仿宋_GB2312" w:eastAsia="仿宋_GB2312" w:cs="仿宋_GB2312"/>
                <w:bCs/>
                <w:sz w:val="24"/>
              </w:rPr>
              <w:t>4、</w:t>
            </w:r>
            <w:r>
              <w:rPr>
                <w:rFonts w:hint="eastAsia" w:ascii="仿宋_GB2312" w:hAnsi="仿宋_GB2312" w:eastAsia="仿宋_GB2312" w:cs="仿宋_GB2312"/>
                <w:bCs/>
                <w:sz w:val="24"/>
                <w:lang w:eastAsia="zh-CN"/>
              </w:rPr>
              <w:t>普及</w:t>
            </w:r>
            <w:r>
              <w:rPr>
                <w:rFonts w:hint="eastAsia" w:ascii="仿宋_GB2312" w:hAnsi="仿宋_GB2312" w:eastAsia="仿宋_GB2312" w:cs="仿宋_GB2312"/>
                <w:bCs/>
                <w:sz w:val="24"/>
              </w:rPr>
              <w:t>宣传教育，推进全民共治。</w:t>
            </w:r>
          </w:p>
        </w:tc>
      </w:tr>
    </w:tbl>
    <w:p>
      <w:pPr>
        <w:rPr>
          <w:rFonts w:eastAsia="楷体_GB2312"/>
          <w:bCs/>
          <w:sz w:val="28"/>
          <w:szCs w:val="28"/>
        </w:rPr>
      </w:pPr>
      <w:r>
        <w:rPr>
          <w:rFonts w:eastAsia="楷体_GB2312"/>
          <w:bCs/>
          <w:sz w:val="28"/>
          <w:szCs w:val="28"/>
        </w:rPr>
        <w:br w:type="page"/>
      </w:r>
    </w:p>
    <w:p>
      <w:pPr>
        <w:rPr>
          <w:rFonts w:hint="eastAsia" w:eastAsia="楷体_GB2312"/>
          <w:bCs/>
          <w:sz w:val="28"/>
          <w:szCs w:val="28"/>
        </w:rPr>
      </w:pPr>
    </w:p>
    <w:p>
      <w:pPr>
        <w:spacing w:before="312" w:beforeLines="100" w:after="312" w:afterLines="100"/>
        <w:jc w:val="center"/>
        <w:rPr>
          <w:rFonts w:hint="eastAsia" w:ascii="方正小标宋简体" w:eastAsia="方正小标宋简体"/>
          <w:sz w:val="36"/>
          <w:szCs w:val="36"/>
        </w:rPr>
      </w:pPr>
      <w:r>
        <w:rPr>
          <w:rFonts w:hint="eastAsia" w:ascii="方正小标宋简体" w:eastAsia="方正小标宋简体"/>
          <w:sz w:val="36"/>
          <w:szCs w:val="36"/>
        </w:rPr>
        <w:t>部门整体支出绩效评价评分表</w:t>
      </w:r>
    </w:p>
    <w:tbl>
      <w:tblPr>
        <w:tblStyle w:val="8"/>
        <w:tblW w:w="9894" w:type="dxa"/>
        <w:jc w:val="center"/>
        <w:tblLayout w:type="fixed"/>
        <w:tblCellMar>
          <w:top w:w="0" w:type="dxa"/>
          <w:left w:w="108" w:type="dxa"/>
          <w:bottom w:w="0" w:type="dxa"/>
          <w:right w:w="108" w:type="dxa"/>
        </w:tblCellMar>
      </w:tblPr>
      <w:tblGrid>
        <w:gridCol w:w="976"/>
        <w:gridCol w:w="939"/>
        <w:gridCol w:w="1389"/>
        <w:gridCol w:w="4171"/>
        <w:gridCol w:w="619"/>
        <w:gridCol w:w="720"/>
        <w:gridCol w:w="1080"/>
      </w:tblGrid>
      <w:tr>
        <w:tblPrEx>
          <w:tblCellMar>
            <w:top w:w="0" w:type="dxa"/>
            <w:left w:w="108" w:type="dxa"/>
            <w:bottom w:w="0" w:type="dxa"/>
            <w:right w:w="108" w:type="dxa"/>
          </w:tblCellMar>
        </w:tblPrEx>
        <w:trPr>
          <w:trHeight w:val="525" w:hRule="atLeast"/>
          <w:jc w:val="center"/>
        </w:trPr>
        <w:tc>
          <w:tcPr>
            <w:tcW w:w="9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一级指标</w:t>
            </w:r>
          </w:p>
        </w:tc>
        <w:tc>
          <w:tcPr>
            <w:tcW w:w="93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二级指标</w:t>
            </w:r>
          </w:p>
        </w:tc>
        <w:tc>
          <w:tcPr>
            <w:tcW w:w="138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三级指标</w:t>
            </w:r>
          </w:p>
        </w:tc>
        <w:tc>
          <w:tcPr>
            <w:tcW w:w="4171"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评分标准</w:t>
            </w:r>
          </w:p>
        </w:tc>
        <w:tc>
          <w:tcPr>
            <w:tcW w:w="61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分值</w:t>
            </w:r>
          </w:p>
        </w:tc>
        <w:tc>
          <w:tcPr>
            <w:tcW w:w="720"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自评得分</w:t>
            </w:r>
          </w:p>
        </w:tc>
        <w:tc>
          <w:tcPr>
            <w:tcW w:w="1080"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b/>
                <w:bCs/>
                <w:spacing w:val="-10"/>
                <w:kern w:val="0"/>
                <w:sz w:val="18"/>
                <w:szCs w:val="18"/>
              </w:rPr>
            </w:pPr>
            <w:r>
              <w:rPr>
                <w:rFonts w:hint="eastAsia" w:ascii="仿宋_GB2312" w:hAnsi="宋体" w:eastAsia="仿宋_GB2312" w:cs="宋体"/>
                <w:b/>
                <w:bCs/>
                <w:spacing w:val="-10"/>
                <w:kern w:val="0"/>
                <w:sz w:val="18"/>
                <w:szCs w:val="18"/>
              </w:rPr>
              <w:t>扣分原因和其他说明</w:t>
            </w:r>
          </w:p>
        </w:tc>
      </w:tr>
      <w:tr>
        <w:tblPrEx>
          <w:tblCellMar>
            <w:top w:w="0" w:type="dxa"/>
            <w:left w:w="108" w:type="dxa"/>
            <w:bottom w:w="0" w:type="dxa"/>
            <w:right w:w="108" w:type="dxa"/>
          </w:tblCellMar>
        </w:tblPrEx>
        <w:trPr>
          <w:trHeight w:val="559" w:hRule="atLeast"/>
          <w:jc w:val="center"/>
        </w:trPr>
        <w:tc>
          <w:tcPr>
            <w:tcW w:w="976"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投  入</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（15分）</w:t>
            </w:r>
          </w:p>
        </w:tc>
        <w:tc>
          <w:tcPr>
            <w:tcW w:w="939"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预算配置</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（15分）</w:t>
            </w: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财政供养人员</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控制率</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以100%为标准。在职人员控制率</w:t>
            </w:r>
            <w:r>
              <w:rPr>
                <w:rFonts w:hint="eastAsia" w:ascii="宋体" w:hAnsi="宋体" w:cs="宋体"/>
                <w:kern w:val="0"/>
                <w:sz w:val="18"/>
                <w:szCs w:val="18"/>
              </w:rPr>
              <w:t>≦</w:t>
            </w:r>
            <w:r>
              <w:rPr>
                <w:rFonts w:hint="eastAsia" w:ascii="仿宋_GB2312" w:hAnsi="宋体" w:eastAsia="仿宋_GB2312" w:cs="宋体"/>
                <w:kern w:val="0"/>
                <w:sz w:val="18"/>
                <w:szCs w:val="18"/>
              </w:rPr>
              <w:t>100%，计5分；每超过一个百分点扣0.5分，扣完为止。</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kern w:val="0"/>
                <w:sz w:val="18"/>
                <w:szCs w:val="18"/>
                <w:lang w:val="en-US" w:eastAsia="zh-CN" w:bidi="ar-SA"/>
              </w:rPr>
            </w:pPr>
            <w:r>
              <w:rPr>
                <w:rFonts w:hint="eastAsia" w:ascii="仿宋_GB2312" w:hAnsi="宋体" w:eastAsia="仿宋_GB2312" w:cs="宋体"/>
                <w:kern w:val="0"/>
                <w:sz w:val="18"/>
                <w:szCs w:val="18"/>
              </w:rPr>
              <w:t>5</w:t>
            </w:r>
          </w:p>
        </w:tc>
        <w:tc>
          <w:tcPr>
            <w:tcW w:w="1080"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780"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“三公经费”</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变动率</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“三公经费”变动率</w:t>
            </w:r>
            <w:r>
              <w:rPr>
                <w:rFonts w:hint="eastAsia" w:ascii="宋体" w:hAnsi="宋体" w:cs="宋体"/>
                <w:kern w:val="0"/>
                <w:sz w:val="18"/>
                <w:szCs w:val="18"/>
              </w:rPr>
              <w:t>≦</w:t>
            </w:r>
            <w:r>
              <w:rPr>
                <w:rFonts w:hint="eastAsia" w:ascii="仿宋_GB2312" w:hAnsi="宋体" w:eastAsia="仿宋_GB2312" w:cs="宋体"/>
                <w:kern w:val="0"/>
                <w:sz w:val="18"/>
                <w:szCs w:val="18"/>
              </w:rPr>
              <w:t>0,计5分；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“三公经费”＞0，每超过一个百分点扣0.5分，扣完为止。</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kern w:val="0"/>
                <w:sz w:val="18"/>
                <w:szCs w:val="18"/>
                <w:lang w:val="en-US" w:eastAsia="zh-CN" w:bidi="ar-SA"/>
              </w:rPr>
            </w:pPr>
            <w:r>
              <w:rPr>
                <w:rFonts w:hint="eastAsia" w:ascii="仿宋_GB2312" w:hAnsi="宋体" w:eastAsia="仿宋_GB2312" w:cs="宋体"/>
                <w:kern w:val="0"/>
                <w:sz w:val="18"/>
                <w:szCs w:val="18"/>
              </w:rPr>
              <w:t>5</w:t>
            </w:r>
          </w:p>
        </w:tc>
        <w:tc>
          <w:tcPr>
            <w:tcW w:w="1080"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737"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重点支出</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安排率</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重点支出安排率≥90%，计5分；80%（含）-90%，计4分；70%（含）-80%，计3分；60%（含）-70%，计2分；低于60%不得分。</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kern w:val="0"/>
                <w:sz w:val="18"/>
                <w:szCs w:val="18"/>
                <w:lang w:val="en-US" w:eastAsia="zh-CN" w:bidi="ar-SA"/>
              </w:rPr>
            </w:pPr>
            <w:r>
              <w:rPr>
                <w:rFonts w:hint="eastAsia" w:ascii="仿宋_GB2312" w:hAnsi="宋体" w:eastAsia="仿宋_GB2312" w:cs="宋体"/>
                <w:kern w:val="0"/>
                <w:sz w:val="18"/>
                <w:szCs w:val="18"/>
              </w:rPr>
              <w:t>5</w:t>
            </w:r>
          </w:p>
        </w:tc>
        <w:tc>
          <w:tcPr>
            <w:tcW w:w="1080"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776" w:hRule="atLeast"/>
          <w:jc w:val="center"/>
        </w:trPr>
        <w:tc>
          <w:tcPr>
            <w:tcW w:w="976"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过  程</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（40分）</w:t>
            </w:r>
          </w:p>
        </w:tc>
        <w:tc>
          <w:tcPr>
            <w:tcW w:w="939"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预算执行</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（15分）</w:t>
            </w: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预算调整率</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预算调整率=0，计3分；0-10%（含），计2分；10-20%（含），计1分；20-30%（含），计0.5分；大于30%不得分。</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kern w:val="0"/>
                <w:sz w:val="18"/>
                <w:szCs w:val="18"/>
                <w:lang w:val="en-US" w:eastAsia="zh-CN" w:bidi="ar-SA"/>
              </w:rPr>
            </w:pPr>
            <w:r>
              <w:rPr>
                <w:rFonts w:hint="eastAsia" w:ascii="仿宋_GB2312" w:hAnsi="宋体" w:eastAsia="仿宋_GB2312" w:cs="宋体"/>
                <w:kern w:val="0"/>
                <w:sz w:val="18"/>
                <w:szCs w:val="18"/>
              </w:rPr>
              <w:t>3</w:t>
            </w:r>
          </w:p>
        </w:tc>
        <w:tc>
          <w:tcPr>
            <w:tcW w:w="108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1039"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支付进度</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春节前下达全部专项资金的50%；6月底前所有专项资金指标全部下达完。</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每出现一个专项未按进度完成资金下达扣0.5分，扣完为止。</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kern w:val="0"/>
                <w:sz w:val="18"/>
                <w:szCs w:val="18"/>
                <w:lang w:val="en-US" w:eastAsia="zh-CN" w:bidi="ar-SA"/>
              </w:rPr>
            </w:pPr>
            <w:r>
              <w:rPr>
                <w:rFonts w:hint="eastAsia" w:ascii="仿宋_GB2312" w:hAnsi="宋体" w:eastAsia="仿宋_GB2312" w:cs="宋体"/>
                <w:kern w:val="0"/>
                <w:sz w:val="18"/>
                <w:szCs w:val="18"/>
              </w:rPr>
              <w:t>3</w:t>
            </w:r>
          </w:p>
        </w:tc>
        <w:tc>
          <w:tcPr>
            <w:tcW w:w="108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619"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资金结余</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无结余，3分；有结余，但不超过上年结转，2分；结余超过上年结转，不得分。</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lang w:val="en-US" w:eastAsia="zh-CN" w:bidi="ar-SA"/>
              </w:rPr>
            </w:pPr>
            <w:r>
              <w:rPr>
                <w:rFonts w:hint="eastAsia" w:ascii="仿宋_GB2312" w:hAnsi="宋体" w:eastAsia="仿宋_GB2312" w:cs="宋体"/>
                <w:kern w:val="0"/>
                <w:sz w:val="18"/>
                <w:szCs w:val="18"/>
              </w:rPr>
              <w:t>3</w:t>
            </w:r>
          </w:p>
        </w:tc>
        <w:tc>
          <w:tcPr>
            <w:tcW w:w="108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95"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“三公经费”</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控制率</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以100%为标准。三公经费控制率</w:t>
            </w:r>
            <w:r>
              <w:rPr>
                <w:rFonts w:hint="eastAsia" w:ascii="宋体" w:hAnsi="宋体" w:cs="宋体"/>
                <w:kern w:val="0"/>
                <w:sz w:val="18"/>
                <w:szCs w:val="18"/>
              </w:rPr>
              <w:t>≦</w:t>
            </w:r>
            <w:r>
              <w:rPr>
                <w:rFonts w:hint="eastAsia" w:ascii="仿宋_GB2312" w:hAnsi="宋体" w:eastAsia="仿宋_GB2312" w:cs="宋体"/>
                <w:kern w:val="0"/>
                <w:sz w:val="18"/>
                <w:szCs w:val="18"/>
              </w:rPr>
              <w:t>100%，计6分；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每超过一个百分点扣1分，扣完为止。</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6</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lang w:val="en-US" w:eastAsia="zh-CN" w:bidi="ar-SA"/>
              </w:rPr>
            </w:pPr>
            <w:r>
              <w:rPr>
                <w:rFonts w:hint="eastAsia" w:ascii="仿宋_GB2312" w:hAnsi="宋体" w:eastAsia="仿宋_GB2312" w:cs="宋体"/>
                <w:kern w:val="0"/>
                <w:sz w:val="18"/>
                <w:szCs w:val="18"/>
              </w:rPr>
              <w:t>6</w:t>
            </w:r>
          </w:p>
        </w:tc>
        <w:tc>
          <w:tcPr>
            <w:tcW w:w="108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915"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939"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预算管理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（15分）</w:t>
            </w: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管理制度</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健全性</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①已制定或具有预算资金管理办法，内部财务管理制度、会计核算制度等管理制度，1分；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②相关管理制度合法、合规、完整，1分；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③相关管理制度得到有效执行，1分。</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lang w:val="en-US" w:eastAsia="zh-CN" w:bidi="ar-SA"/>
              </w:rPr>
            </w:pPr>
            <w:r>
              <w:rPr>
                <w:rFonts w:hint="eastAsia" w:ascii="仿宋_GB2312" w:hAnsi="宋体" w:eastAsia="仿宋_GB2312" w:cs="宋体"/>
                <w:kern w:val="0"/>
                <w:sz w:val="18"/>
                <w:szCs w:val="18"/>
              </w:rPr>
              <w:t>3</w:t>
            </w:r>
          </w:p>
        </w:tc>
        <w:tc>
          <w:tcPr>
            <w:tcW w:w="108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1802"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资金使用</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合规性</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①支出符合国家财经法规和财务管理制度规定以及有关专项资金管理办法的规定；</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②资金拨付有完整的审批程序和手续；</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③项目支出按规定经过评估论证；</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④支出符合部门预算批复的用途；</w:t>
            </w:r>
            <w:r>
              <w:rPr>
                <w:rFonts w:hint="eastAsia" w:ascii="仿宋_GB2312" w:hAnsi="宋体" w:eastAsia="仿宋_GB2312" w:cs="宋体"/>
                <w:kern w:val="0"/>
                <w:sz w:val="18"/>
                <w:szCs w:val="18"/>
              </w:rPr>
              <w:br w:type="textWrapping"/>
            </w:r>
            <w:r>
              <w:rPr>
                <w:rFonts w:hint="eastAsia" w:ascii="仿宋_GB2312" w:hAnsi="宋体" w:eastAsia="仿宋_GB2312" w:cs="宋体"/>
                <w:spacing w:val="-6"/>
                <w:kern w:val="0"/>
                <w:sz w:val="18"/>
                <w:szCs w:val="18"/>
              </w:rPr>
              <w:t>⑤资金使用无截留、挤占、挪用、虚列支出等情况。</w:t>
            </w:r>
            <w:r>
              <w:rPr>
                <w:rFonts w:hint="eastAsia" w:ascii="仿宋_GB2312" w:hAnsi="宋体" w:eastAsia="仿宋_GB2312" w:cs="宋体"/>
                <w:spacing w:val="-6"/>
                <w:kern w:val="0"/>
                <w:sz w:val="18"/>
                <w:szCs w:val="18"/>
              </w:rPr>
              <w:br w:type="textWrapping"/>
            </w:r>
            <w:r>
              <w:rPr>
                <w:rFonts w:hint="eastAsia" w:ascii="仿宋_GB2312" w:hAnsi="宋体" w:eastAsia="仿宋_GB2312" w:cs="宋体"/>
                <w:spacing w:val="-6"/>
                <w:kern w:val="0"/>
                <w:sz w:val="18"/>
                <w:szCs w:val="18"/>
              </w:rPr>
              <w:t>以上情况每出现一例不符合要求的扣1分，扣完为止。</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lang w:val="en-US" w:eastAsia="zh-CN" w:bidi="ar-SA"/>
              </w:rPr>
            </w:pPr>
            <w:r>
              <w:rPr>
                <w:rFonts w:hint="eastAsia" w:ascii="仿宋_GB2312" w:hAnsi="宋体" w:eastAsia="仿宋_GB2312" w:cs="宋体"/>
                <w:kern w:val="0"/>
                <w:sz w:val="18"/>
                <w:szCs w:val="18"/>
              </w:rPr>
              <w:t>3</w:t>
            </w:r>
          </w:p>
        </w:tc>
        <w:tc>
          <w:tcPr>
            <w:tcW w:w="108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5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预决算信息公开性和完善性</w:t>
            </w:r>
          </w:p>
        </w:tc>
        <w:tc>
          <w:tcPr>
            <w:tcW w:w="4171"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①按规定内容公开预决算信息，1分；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②按规定时限公开预决算信息，0.5分；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③基础数据信息和会计信息资料真实，0.5分；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④基础数据信息和会计信息资料完整，0.5分；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 xml:space="preserve">⑤基础数据信息和汇集信息资料准确，0.5分。                                            </w:t>
            </w:r>
          </w:p>
        </w:tc>
        <w:tc>
          <w:tcPr>
            <w:tcW w:w="61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lang w:val="en-US" w:eastAsia="zh-CN" w:bidi="ar-SA"/>
              </w:rPr>
            </w:pPr>
            <w:r>
              <w:rPr>
                <w:rFonts w:hint="eastAsia" w:ascii="仿宋_GB2312" w:hAnsi="宋体" w:eastAsia="仿宋_GB2312" w:cs="宋体"/>
                <w:kern w:val="0"/>
                <w:sz w:val="18"/>
                <w:szCs w:val="18"/>
              </w:rPr>
              <w:t>3</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57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93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　</w:t>
            </w:r>
          </w:p>
        </w:tc>
        <w:tc>
          <w:tcPr>
            <w:tcW w:w="138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政府采购</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执行率</w:t>
            </w:r>
          </w:p>
        </w:tc>
        <w:tc>
          <w:tcPr>
            <w:tcW w:w="4171"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政府采购执行率等于100%的，得3分；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每减少一个百分点，扣0.2分，扣完为止。</w:t>
            </w:r>
          </w:p>
        </w:tc>
        <w:tc>
          <w:tcPr>
            <w:tcW w:w="61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lang w:val="en-US" w:eastAsia="zh-CN" w:bidi="ar-SA"/>
              </w:rPr>
            </w:pPr>
            <w:r>
              <w:rPr>
                <w:rFonts w:hint="eastAsia" w:ascii="仿宋_GB2312" w:hAnsi="宋体" w:eastAsia="仿宋_GB2312" w:cs="宋体"/>
                <w:kern w:val="0"/>
                <w:sz w:val="18"/>
                <w:szCs w:val="18"/>
              </w:rPr>
              <w:t>3</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63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公务卡刷卡率</w:t>
            </w:r>
          </w:p>
        </w:tc>
        <w:tc>
          <w:tcPr>
            <w:tcW w:w="4171"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公务卡刷卡率达50％以上的，得3分。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 xml:space="preserve">每减少一个百分点，扣0.2分，扣完为止。                                            </w:t>
            </w:r>
          </w:p>
        </w:tc>
        <w:tc>
          <w:tcPr>
            <w:tcW w:w="61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default" w:ascii="仿宋_GB2312" w:hAnsi="宋体" w:eastAsia="仿宋_GB2312" w:cs="宋体"/>
                <w:kern w:val="0"/>
                <w:sz w:val="18"/>
                <w:szCs w:val="18"/>
                <w:lang w:val="en-US" w:eastAsia="zh-CN" w:bidi="ar-SA"/>
              </w:rPr>
            </w:pPr>
            <w:r>
              <w:rPr>
                <w:rFonts w:hint="eastAsia" w:ascii="仿宋_GB2312" w:hAnsi="宋体" w:eastAsia="仿宋_GB2312" w:cs="宋体"/>
                <w:kern w:val="0"/>
                <w:sz w:val="18"/>
                <w:szCs w:val="18"/>
                <w:lang w:val="en-US" w:eastAsia="zh-CN" w:bidi="ar-SA"/>
              </w:rPr>
              <w:t>2</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lang w:eastAsia="zh-CN"/>
              </w:rPr>
              <w:t>乡镇监管时无刷卡点。</w:t>
            </w:r>
          </w:p>
        </w:tc>
      </w:tr>
      <w:tr>
        <w:tblPrEx>
          <w:tblCellMar>
            <w:top w:w="0" w:type="dxa"/>
            <w:left w:w="108" w:type="dxa"/>
            <w:bottom w:w="0" w:type="dxa"/>
            <w:right w:w="108" w:type="dxa"/>
          </w:tblCellMar>
        </w:tblPrEx>
        <w:trPr>
          <w:trHeight w:val="735"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939"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资产管理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（10分）</w:t>
            </w:r>
          </w:p>
        </w:tc>
        <w:tc>
          <w:tcPr>
            <w:tcW w:w="138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管理制度</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健全性</w:t>
            </w:r>
          </w:p>
        </w:tc>
        <w:tc>
          <w:tcPr>
            <w:tcW w:w="4171"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①已制定或具有资产管理制度，且相关资产管理制度合法、合规、完整，2分；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 xml:space="preserve">②相关资产管理制度得到有效执行，1分。                                           </w:t>
            </w:r>
          </w:p>
        </w:tc>
        <w:tc>
          <w:tcPr>
            <w:tcW w:w="61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lang w:val="en-US" w:eastAsia="zh-CN" w:bidi="ar-SA"/>
              </w:rPr>
            </w:pPr>
            <w:r>
              <w:rPr>
                <w:rFonts w:hint="eastAsia" w:ascii="仿宋_GB2312" w:hAnsi="宋体" w:eastAsia="仿宋_GB2312" w:cs="宋体"/>
                <w:kern w:val="0"/>
                <w:sz w:val="18"/>
                <w:szCs w:val="18"/>
              </w:rPr>
              <w:t>3</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bl>
    <w:p/>
    <w:tbl>
      <w:tblPr>
        <w:tblStyle w:val="8"/>
        <w:tblW w:w="9894" w:type="dxa"/>
        <w:jc w:val="center"/>
        <w:tblLayout w:type="fixed"/>
        <w:tblCellMar>
          <w:top w:w="0" w:type="dxa"/>
          <w:left w:w="108" w:type="dxa"/>
          <w:bottom w:w="0" w:type="dxa"/>
          <w:right w:w="108" w:type="dxa"/>
        </w:tblCellMar>
      </w:tblPr>
      <w:tblGrid>
        <w:gridCol w:w="976"/>
        <w:gridCol w:w="939"/>
        <w:gridCol w:w="1389"/>
        <w:gridCol w:w="4171"/>
        <w:gridCol w:w="619"/>
        <w:gridCol w:w="720"/>
        <w:gridCol w:w="1080"/>
      </w:tblGrid>
      <w:tr>
        <w:tblPrEx>
          <w:tblCellMar>
            <w:top w:w="0" w:type="dxa"/>
            <w:left w:w="108" w:type="dxa"/>
            <w:bottom w:w="0" w:type="dxa"/>
            <w:right w:w="108" w:type="dxa"/>
          </w:tblCellMar>
        </w:tblPrEx>
        <w:trPr>
          <w:trHeight w:val="609" w:hRule="atLeast"/>
          <w:jc w:val="center"/>
        </w:trPr>
        <w:tc>
          <w:tcPr>
            <w:tcW w:w="9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一级指标</w:t>
            </w:r>
          </w:p>
        </w:tc>
        <w:tc>
          <w:tcPr>
            <w:tcW w:w="9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二级指标</w:t>
            </w:r>
          </w:p>
        </w:tc>
        <w:tc>
          <w:tcPr>
            <w:tcW w:w="138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三级指标</w:t>
            </w:r>
          </w:p>
        </w:tc>
        <w:tc>
          <w:tcPr>
            <w:tcW w:w="4171"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评分标准</w:t>
            </w:r>
          </w:p>
        </w:tc>
        <w:tc>
          <w:tcPr>
            <w:tcW w:w="61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分值</w:t>
            </w:r>
          </w:p>
        </w:tc>
        <w:tc>
          <w:tcPr>
            <w:tcW w:w="720"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自评得分</w:t>
            </w:r>
          </w:p>
        </w:tc>
        <w:tc>
          <w:tcPr>
            <w:tcW w:w="1080"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b/>
                <w:bCs/>
                <w:spacing w:val="-12"/>
                <w:kern w:val="0"/>
                <w:sz w:val="18"/>
                <w:szCs w:val="18"/>
              </w:rPr>
            </w:pPr>
            <w:r>
              <w:rPr>
                <w:rFonts w:hint="eastAsia" w:ascii="仿宋_GB2312" w:hAnsi="宋体" w:eastAsia="仿宋_GB2312" w:cs="宋体"/>
                <w:b/>
                <w:bCs/>
                <w:spacing w:val="-12"/>
                <w:kern w:val="0"/>
                <w:sz w:val="18"/>
                <w:szCs w:val="18"/>
              </w:rPr>
              <w:t>扣分原因和其他说明</w:t>
            </w:r>
          </w:p>
        </w:tc>
      </w:tr>
      <w:tr>
        <w:tblPrEx>
          <w:tblCellMar>
            <w:top w:w="0" w:type="dxa"/>
            <w:left w:w="108" w:type="dxa"/>
            <w:bottom w:w="0" w:type="dxa"/>
            <w:right w:w="108" w:type="dxa"/>
          </w:tblCellMar>
        </w:tblPrEx>
        <w:trPr>
          <w:trHeight w:val="2011" w:hRule="atLeast"/>
          <w:jc w:val="center"/>
        </w:trPr>
        <w:tc>
          <w:tcPr>
            <w:tcW w:w="97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过  程</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（40分）</w:t>
            </w:r>
          </w:p>
        </w:tc>
        <w:tc>
          <w:tcPr>
            <w:tcW w:w="93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资产管理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（10分）</w:t>
            </w:r>
          </w:p>
        </w:tc>
        <w:tc>
          <w:tcPr>
            <w:tcW w:w="138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资产管理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安全性</w:t>
            </w:r>
          </w:p>
        </w:tc>
        <w:tc>
          <w:tcPr>
            <w:tcW w:w="4171"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①资产保存完整；</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②资产配置合理；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 xml:space="preserve">③资产处置规范； </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④资产账务管理合规，帐实相符；</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⑤资产有偿使用及处置收入及时足额上缴；</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以上情况每出现一例不符合有关要求的扣1分，扣完为止。</w:t>
            </w:r>
          </w:p>
        </w:tc>
        <w:tc>
          <w:tcPr>
            <w:tcW w:w="61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w:t>
            </w:r>
          </w:p>
        </w:tc>
        <w:tc>
          <w:tcPr>
            <w:tcW w:w="720"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lang w:val="en-US" w:eastAsia="zh-CN" w:bidi="ar-SA"/>
              </w:rPr>
            </w:pPr>
            <w:r>
              <w:rPr>
                <w:rFonts w:hint="eastAsia" w:ascii="仿宋_GB2312" w:hAnsi="宋体" w:eastAsia="仿宋_GB2312" w:cs="宋体"/>
                <w:kern w:val="0"/>
                <w:sz w:val="18"/>
                <w:szCs w:val="18"/>
              </w:rPr>
              <w:t>4</w:t>
            </w:r>
          </w:p>
        </w:tc>
        <w:tc>
          <w:tcPr>
            <w:tcW w:w="1080"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774"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固定资产</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利用率</w:t>
            </w:r>
          </w:p>
        </w:tc>
        <w:tc>
          <w:tcPr>
            <w:tcW w:w="4171"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每低于100%一个百分点扣0.1分，扣完为止。</w:t>
            </w:r>
          </w:p>
        </w:tc>
        <w:tc>
          <w:tcPr>
            <w:tcW w:w="61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lang w:val="en-US" w:eastAsia="zh-CN" w:bidi="ar-SA"/>
              </w:rPr>
            </w:pPr>
            <w:r>
              <w:rPr>
                <w:rFonts w:hint="eastAsia" w:ascii="仿宋_GB2312" w:hAnsi="宋体" w:eastAsia="仿宋_GB2312" w:cs="宋体"/>
                <w:kern w:val="0"/>
                <w:sz w:val="18"/>
                <w:szCs w:val="18"/>
              </w:rPr>
              <w:t>3</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900" w:hRule="atLeast"/>
          <w:jc w:val="center"/>
        </w:trPr>
        <w:tc>
          <w:tcPr>
            <w:tcW w:w="97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产  出（25分）</w:t>
            </w:r>
          </w:p>
        </w:tc>
        <w:tc>
          <w:tcPr>
            <w:tcW w:w="93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职责履行</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（25分）</w:t>
            </w:r>
          </w:p>
        </w:tc>
        <w:tc>
          <w:tcPr>
            <w:tcW w:w="138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推进全面小康建设指标任务完成情况</w:t>
            </w:r>
          </w:p>
        </w:tc>
        <w:tc>
          <w:tcPr>
            <w:tcW w:w="4171"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此项指标根据《中共岳阳市委 岳阳市人民政府 关于做好岳阳市加快推进湖南发展新增长极建设2015年度综合绩效考评工作的通知》（岳发〔2015〕11号）和《中共岳阳市委 岳阳市人民政府 关于做好2015年度综合绩效考评工作的补充通知》（岳发〔2015〕19号）附件2第一大项“工作实绩指标”（700分）考核内容设置。</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部门单位应根据部门实际进行调整，并将其细化成相应的个性化指标。</w:t>
            </w:r>
          </w:p>
        </w:tc>
        <w:tc>
          <w:tcPr>
            <w:tcW w:w="61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lang w:val="en-US" w:eastAsia="zh-CN" w:bidi="ar-SA"/>
              </w:rPr>
            </w:pPr>
            <w:r>
              <w:rPr>
                <w:rFonts w:hint="eastAsia" w:ascii="仿宋_GB2312" w:hAnsi="宋体" w:eastAsia="仿宋_GB2312" w:cs="宋体"/>
                <w:kern w:val="0"/>
                <w:sz w:val="18"/>
                <w:szCs w:val="18"/>
              </w:rPr>
              <w:t>5</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90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建设湖南新增极目标任务完成情况</w:t>
            </w:r>
          </w:p>
        </w:tc>
        <w:tc>
          <w:tcPr>
            <w:tcW w:w="4171"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7</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lang w:val="en-US" w:eastAsia="zh-CN" w:bidi="ar-SA"/>
              </w:rPr>
            </w:pPr>
            <w:r>
              <w:rPr>
                <w:rFonts w:hint="eastAsia" w:ascii="仿宋_GB2312" w:hAnsi="宋体" w:eastAsia="仿宋_GB2312" w:cs="宋体"/>
                <w:kern w:val="0"/>
                <w:sz w:val="18"/>
                <w:szCs w:val="18"/>
              </w:rPr>
              <w:t>7</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90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《政府工作报告》目标任务完成情况</w:t>
            </w:r>
          </w:p>
        </w:tc>
        <w:tc>
          <w:tcPr>
            <w:tcW w:w="4171"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lang w:val="en-US" w:eastAsia="zh-CN" w:bidi="ar-SA"/>
              </w:rPr>
            </w:pPr>
            <w:r>
              <w:rPr>
                <w:rFonts w:hint="eastAsia" w:ascii="仿宋_GB2312" w:hAnsi="宋体" w:eastAsia="仿宋_GB2312" w:cs="宋体"/>
                <w:kern w:val="0"/>
                <w:sz w:val="18"/>
                <w:szCs w:val="18"/>
              </w:rPr>
              <w:t>5</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68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省市重点民生实事完成情况</w:t>
            </w:r>
          </w:p>
        </w:tc>
        <w:tc>
          <w:tcPr>
            <w:tcW w:w="4171"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2</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lang w:val="en-US" w:eastAsia="zh-CN" w:bidi="ar-SA"/>
              </w:rPr>
            </w:pPr>
            <w:r>
              <w:rPr>
                <w:rFonts w:hint="eastAsia" w:ascii="仿宋_GB2312" w:hAnsi="宋体" w:eastAsia="仿宋_GB2312" w:cs="宋体"/>
                <w:kern w:val="0"/>
                <w:sz w:val="18"/>
                <w:szCs w:val="18"/>
              </w:rPr>
              <w:t>2</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90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省市重点工程和重大项目建设完成情况</w:t>
            </w:r>
          </w:p>
        </w:tc>
        <w:tc>
          <w:tcPr>
            <w:tcW w:w="4171"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2</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lang w:val="en-US" w:eastAsia="zh-CN" w:bidi="ar-SA"/>
              </w:rPr>
            </w:pPr>
            <w:r>
              <w:rPr>
                <w:rFonts w:hint="eastAsia" w:ascii="仿宋_GB2312" w:hAnsi="宋体" w:eastAsia="仿宋_GB2312" w:cs="宋体"/>
                <w:kern w:val="0"/>
                <w:sz w:val="18"/>
                <w:szCs w:val="18"/>
              </w:rPr>
              <w:t>2</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80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其他工作实绩指标完成情况</w:t>
            </w:r>
          </w:p>
        </w:tc>
        <w:tc>
          <w:tcPr>
            <w:tcW w:w="4171"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lang w:val="en-US" w:eastAsia="zh-CN" w:bidi="ar-SA"/>
              </w:rPr>
            </w:pPr>
            <w:r>
              <w:rPr>
                <w:rFonts w:hint="eastAsia" w:ascii="仿宋_GB2312" w:hAnsi="宋体" w:eastAsia="仿宋_GB2312" w:cs="宋体"/>
                <w:kern w:val="0"/>
                <w:sz w:val="18"/>
                <w:szCs w:val="18"/>
              </w:rPr>
              <w:t>4</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600" w:hRule="atLeast"/>
          <w:jc w:val="center"/>
        </w:trPr>
        <w:tc>
          <w:tcPr>
            <w:tcW w:w="97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效  果</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（20分）</w:t>
            </w:r>
          </w:p>
        </w:tc>
        <w:tc>
          <w:tcPr>
            <w:tcW w:w="93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履职效益</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（20分）</w:t>
            </w:r>
          </w:p>
        </w:tc>
        <w:tc>
          <w:tcPr>
            <w:tcW w:w="138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经济效益</w:t>
            </w:r>
          </w:p>
        </w:tc>
        <w:tc>
          <w:tcPr>
            <w:tcW w:w="4171"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hint="eastAsia" w:ascii="仿宋_GB2312" w:hAnsi="宋体" w:eastAsia="仿宋_GB2312" w:cs="宋体"/>
                <w:kern w:val="0"/>
                <w:sz w:val="18"/>
                <w:szCs w:val="18"/>
              </w:rPr>
            </w:pPr>
            <w:r>
              <w:rPr>
                <w:rFonts w:hint="eastAsia" w:ascii="仿宋_GB2312" w:hAnsi="宋体" w:eastAsia="仿宋_GB2312" w:cs="宋体"/>
                <w:kern w:val="0"/>
                <w:sz w:val="18"/>
                <w:szCs w:val="18"/>
              </w:rPr>
              <w:t>此三项指标为设置部门整体支出绩效评价指标时必须考虑的共性要素。</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部门单位应根据部门实际并结合部门整体支出绩效目标设立情况有选择的进行设置，并将其细化为相应的个性化指标。</w:t>
            </w:r>
          </w:p>
        </w:tc>
        <w:tc>
          <w:tcPr>
            <w:tcW w:w="61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15</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lang w:val="en-US" w:eastAsia="zh-CN" w:bidi="ar-SA"/>
              </w:rPr>
            </w:pPr>
            <w:r>
              <w:rPr>
                <w:rFonts w:hint="eastAsia" w:ascii="仿宋_GB2312" w:hAnsi="宋体" w:eastAsia="仿宋_GB2312" w:cs="宋体"/>
                <w:kern w:val="0"/>
                <w:sz w:val="18"/>
                <w:szCs w:val="18"/>
              </w:rPr>
              <w:t>15</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60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社会效益</w:t>
            </w:r>
          </w:p>
        </w:tc>
        <w:tc>
          <w:tcPr>
            <w:tcW w:w="4171"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61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60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生态效益</w:t>
            </w:r>
          </w:p>
        </w:tc>
        <w:tc>
          <w:tcPr>
            <w:tcW w:w="4171"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61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1113"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社会公众或服务对象满意度</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宋体" w:eastAsia="仿宋_GB2312" w:cs="宋体"/>
                <w:kern w:val="0"/>
                <w:sz w:val="18"/>
                <w:szCs w:val="18"/>
              </w:rPr>
            </w:pPr>
            <w:r>
              <w:rPr>
                <w:rFonts w:hint="eastAsia" w:ascii="仿宋_GB2312" w:hAnsi="宋体" w:eastAsia="仿宋_GB2312" w:cs="宋体"/>
                <w:kern w:val="0"/>
                <w:sz w:val="18"/>
                <w:szCs w:val="18"/>
              </w:rPr>
              <w:t>95%（含）以上计5分；</w:t>
            </w:r>
          </w:p>
          <w:p>
            <w:pPr>
              <w:widowControl/>
              <w:spacing w:line="240" w:lineRule="exact"/>
              <w:jc w:val="left"/>
              <w:rPr>
                <w:rFonts w:hint="eastAsia" w:ascii="仿宋_GB2312" w:hAnsi="宋体" w:eastAsia="仿宋_GB2312" w:cs="宋体"/>
                <w:kern w:val="0"/>
                <w:sz w:val="18"/>
                <w:szCs w:val="18"/>
              </w:rPr>
            </w:pPr>
            <w:r>
              <w:rPr>
                <w:rFonts w:hint="eastAsia" w:ascii="仿宋_GB2312" w:hAnsi="宋体" w:eastAsia="仿宋_GB2312" w:cs="宋体"/>
                <w:kern w:val="0"/>
                <w:sz w:val="18"/>
                <w:szCs w:val="18"/>
              </w:rPr>
              <w:t>85%（含）-95%，计3分；</w:t>
            </w:r>
          </w:p>
          <w:p>
            <w:pPr>
              <w:widowControl/>
              <w:spacing w:line="240" w:lineRule="exact"/>
              <w:jc w:val="left"/>
              <w:rPr>
                <w:rFonts w:hint="eastAsia" w:ascii="仿宋_GB2312" w:hAnsi="宋体" w:eastAsia="仿宋_GB2312" w:cs="宋体"/>
                <w:kern w:val="0"/>
                <w:sz w:val="18"/>
                <w:szCs w:val="18"/>
              </w:rPr>
            </w:pPr>
            <w:r>
              <w:rPr>
                <w:rFonts w:hint="eastAsia" w:ascii="仿宋_GB2312" w:hAnsi="宋体" w:eastAsia="仿宋_GB2312" w:cs="宋体"/>
                <w:kern w:val="0"/>
                <w:sz w:val="18"/>
                <w:szCs w:val="18"/>
              </w:rPr>
              <w:t>75%（含）-85%，计1分；</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低于75%计0分。</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lang w:val="en-US" w:eastAsia="zh-CN" w:bidi="ar-SA"/>
              </w:rPr>
            </w:pPr>
            <w:r>
              <w:rPr>
                <w:rFonts w:hint="eastAsia" w:ascii="仿宋_GB2312" w:hAnsi="宋体" w:eastAsia="仿宋_GB2312" w:cs="宋体"/>
                <w:kern w:val="0"/>
                <w:sz w:val="18"/>
                <w:szCs w:val="18"/>
              </w:rPr>
              <w:t>5</w:t>
            </w:r>
          </w:p>
        </w:tc>
        <w:tc>
          <w:tcPr>
            <w:tcW w:w="108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670" w:hRule="atLeast"/>
          <w:jc w:val="center"/>
        </w:trPr>
        <w:tc>
          <w:tcPr>
            <w:tcW w:w="976"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总 分</w:t>
            </w:r>
          </w:p>
        </w:tc>
        <w:tc>
          <w:tcPr>
            <w:tcW w:w="93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p>
        </w:tc>
        <w:tc>
          <w:tcPr>
            <w:tcW w:w="4171"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spacing w:val="-8"/>
                <w:kern w:val="0"/>
                <w:sz w:val="18"/>
                <w:szCs w:val="18"/>
              </w:rPr>
            </w:pPr>
            <w:r>
              <w:rPr>
                <w:rFonts w:hint="eastAsia" w:ascii="仿宋_GB2312" w:hAnsi="宋体" w:eastAsia="仿宋_GB2312" w:cs="宋体"/>
                <w:b/>
                <w:bCs/>
                <w:spacing w:val="-8"/>
                <w:kern w:val="0"/>
                <w:sz w:val="18"/>
                <w:szCs w:val="18"/>
              </w:rPr>
              <w:t>100</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hint="default" w:ascii="仿宋_GB2312" w:hAnsi="宋体" w:eastAsia="仿宋_GB2312" w:cs="宋体"/>
                <w:b/>
                <w:bCs/>
                <w:kern w:val="0"/>
                <w:sz w:val="18"/>
                <w:szCs w:val="18"/>
                <w:lang w:val="en-US" w:eastAsia="zh-CN"/>
              </w:rPr>
            </w:pPr>
            <w:r>
              <w:rPr>
                <w:rFonts w:hint="eastAsia" w:ascii="仿宋_GB2312" w:hAnsi="宋体" w:eastAsia="仿宋_GB2312" w:cs="宋体"/>
                <w:b/>
                <w:bCs/>
                <w:kern w:val="0"/>
                <w:sz w:val="18"/>
                <w:szCs w:val="18"/>
                <w:lang w:val="en-US" w:eastAsia="zh-CN"/>
              </w:rPr>
              <w:t>99</w:t>
            </w:r>
          </w:p>
        </w:tc>
        <w:tc>
          <w:tcPr>
            <w:tcW w:w="108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p>
        </w:tc>
      </w:tr>
    </w:tbl>
    <w:p>
      <w:pPr>
        <w:spacing w:before="156" w:beforeLines="50"/>
        <w:rPr>
          <w:rFonts w:hint="eastAsia" w:ascii="仿宋_GB2312" w:hAnsi="宋体" w:eastAsia="仿宋_GB2312" w:cs="宋体"/>
          <w:kern w:val="0"/>
          <w:szCs w:val="21"/>
        </w:rPr>
      </w:pPr>
      <w:r>
        <w:rPr>
          <w:rFonts w:hint="eastAsia" w:ascii="仿宋_GB2312" w:hAnsi="宋体" w:eastAsia="仿宋_GB2312" w:cs="宋体"/>
          <w:kern w:val="0"/>
          <w:szCs w:val="21"/>
        </w:rPr>
        <w:t>备注：如部门（单位）根据本部门实际情况修改调整了附件3《部门整体支出绩效评价指标体系（参考样表）》，须相应修改调整本表中的对应部分。</w:t>
      </w:r>
    </w:p>
    <w:p>
      <w:pPr>
        <w:spacing w:line="160" w:lineRule="exact"/>
        <w:ind w:firstLine="504" w:firstLineChars="200"/>
        <w:jc w:val="right"/>
        <w:rPr>
          <w:rFonts w:hint="eastAsia" w:eastAsia="仿宋_GB2312"/>
          <w:w w:val="90"/>
          <w:sz w:val="28"/>
        </w:rPr>
      </w:pPr>
    </w:p>
    <w:sectPr>
      <w:footerReference r:id="rId5" w:type="default"/>
      <w:footerReference r:id="rId6" w:type="even"/>
      <w:pgSz w:w="11906" w:h="16838"/>
      <w:pgMar w:top="1588" w:right="1588" w:bottom="1474" w:left="1588"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080F3C52" w:usb2="00000016" w:usb3="00000000" w:csb0="0004001F" w:csb1="00000000"/>
  </w:font>
  <w:font w:name="仿宋">
    <w:altName w:val="微软雅黑"/>
    <w:panose1 w:val="02010609060101010101"/>
    <w:charset w:val="86"/>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1448" w:wrap="around" w:vAnchor="text" w:hAnchor="margin" w:xAlign="outside" w:y="7"/>
      <w:rPr>
        <w:sz w:val="24"/>
      </w:rPr>
    </w:pPr>
    <w:r>
      <w:rPr>
        <w:sz w:val="24"/>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Style w:val="11"/>
                            </w:rPr>
                          </w:pPr>
                          <w:r>
                            <w:rPr>
                              <w:rStyle w:val="11"/>
                              <w:rFonts w:hint="eastAsia"/>
                              <w:lang w:eastAsia="zh-CN"/>
                            </w:rPr>
                            <w:t xml:space="preserve">— </w:t>
                          </w:r>
                          <w:r>
                            <w:fldChar w:fldCharType="begin"/>
                          </w:r>
                          <w:r>
                            <w:rPr>
                              <w:rStyle w:val="11"/>
                            </w:rPr>
                            <w:instrText xml:space="preserve">PAGE  </w:instrText>
                          </w:r>
                          <w:r>
                            <w:fldChar w:fldCharType="separate"/>
                          </w:r>
                          <w:r>
                            <w:rPr>
                              <w:rStyle w:val="11"/>
                              <w:sz w:val="24"/>
                              <w:szCs w:val="24"/>
                            </w:rPr>
                            <w:t>1</w:t>
                          </w:r>
                          <w:r>
                            <w:fldChar w:fldCharType="end"/>
                          </w:r>
                          <w:r>
                            <w:rPr>
                              <w:rStyle w:val="11"/>
                              <w:rFonts w:hint="eastAsia"/>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5"/>
                      <w:rPr>
                        <w:rStyle w:val="11"/>
                      </w:rPr>
                    </w:pPr>
                    <w:r>
                      <w:rPr>
                        <w:rStyle w:val="11"/>
                        <w:rFonts w:hint="eastAsia"/>
                        <w:lang w:eastAsia="zh-CN"/>
                      </w:rPr>
                      <w:t xml:space="preserve">— </w:t>
                    </w:r>
                    <w:r>
                      <w:fldChar w:fldCharType="begin"/>
                    </w:r>
                    <w:r>
                      <w:rPr>
                        <w:rStyle w:val="11"/>
                      </w:rPr>
                      <w:instrText xml:space="preserve">PAGE  </w:instrText>
                    </w:r>
                    <w:r>
                      <w:fldChar w:fldCharType="separate"/>
                    </w:r>
                    <w:r>
                      <w:rPr>
                        <w:rStyle w:val="11"/>
                        <w:sz w:val="24"/>
                        <w:szCs w:val="24"/>
                      </w:rPr>
                      <w:t>1</w:t>
                    </w:r>
                    <w:r>
                      <w:fldChar w:fldCharType="end"/>
                    </w:r>
                    <w:r>
                      <w:rPr>
                        <w:rStyle w:val="11"/>
                        <w:rFonts w:hint="eastAsia"/>
                        <w:lang w:eastAsia="zh-CN"/>
                      </w:rPr>
                      <w:t xml:space="preserve"> —</w:t>
                    </w:r>
                  </w:p>
                </w:txbxContent>
              </v:textbox>
            </v:shape>
          </w:pict>
        </mc:Fallback>
      </mc:AlternateContent>
    </w:r>
  </w:p>
  <w:p>
    <w:pPr>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outside" w:y="1"/>
    </w:pPr>
    <w:r>
      <w:fldChar w:fldCharType="begin"/>
    </w:r>
    <w:r>
      <w:instrText xml:space="preserve">PAGE  </w:instrText>
    </w:r>
    <w:r>
      <w:fldChar w:fldCharType="separate"/>
    </w:r>
    <w:r>
      <w:t>- 15 -</w:t>
    </w:r>
    <w:r>
      <w:fldChar w:fldCharType="end"/>
    </w:r>
  </w:p>
  <w:p>
    <w:pPr>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360" w:firstLine="360"/>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Style w:val="11"/>
                              <w:sz w:val="24"/>
                              <w:szCs w:val="24"/>
                            </w:rPr>
                          </w:pPr>
                          <w:r>
                            <w:rPr>
                              <w:rStyle w:val="11"/>
                              <w:rFonts w:hint="eastAsia"/>
                              <w:sz w:val="24"/>
                              <w:szCs w:val="24"/>
                              <w:lang w:eastAsia="zh-CN"/>
                            </w:rPr>
                            <w:t xml:space="preserve">— </w:t>
                          </w:r>
                          <w:r>
                            <w:rPr>
                              <w:sz w:val="24"/>
                              <w:szCs w:val="24"/>
                            </w:rPr>
                            <w:fldChar w:fldCharType="begin"/>
                          </w:r>
                          <w:r>
                            <w:rPr>
                              <w:rStyle w:val="11"/>
                              <w:sz w:val="24"/>
                              <w:szCs w:val="24"/>
                            </w:rPr>
                            <w:instrText xml:space="preserve">PAGE  </w:instrText>
                          </w:r>
                          <w:r>
                            <w:rPr>
                              <w:sz w:val="24"/>
                              <w:szCs w:val="24"/>
                            </w:rPr>
                            <w:fldChar w:fldCharType="separate"/>
                          </w:r>
                          <w:r>
                            <w:rPr>
                              <w:rStyle w:val="11"/>
                              <w:sz w:val="24"/>
                              <w:szCs w:val="24"/>
                            </w:rPr>
                            <w:t>35</w:t>
                          </w:r>
                          <w:r>
                            <w:rPr>
                              <w:sz w:val="24"/>
                              <w:szCs w:val="24"/>
                            </w:rPr>
                            <w:fldChar w:fldCharType="end"/>
                          </w:r>
                          <w:r>
                            <w:rPr>
                              <w:rStyle w:val="11"/>
                              <w:rFonts w:hint="eastAsia"/>
                              <w:sz w:val="24"/>
                              <w:szCs w:val="24"/>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5"/>
                      <w:rPr>
                        <w:rStyle w:val="11"/>
                        <w:sz w:val="24"/>
                        <w:szCs w:val="24"/>
                      </w:rPr>
                    </w:pPr>
                    <w:r>
                      <w:rPr>
                        <w:rStyle w:val="11"/>
                        <w:rFonts w:hint="eastAsia"/>
                        <w:sz w:val="24"/>
                        <w:szCs w:val="24"/>
                        <w:lang w:eastAsia="zh-CN"/>
                      </w:rPr>
                      <w:t xml:space="preserve">— </w:t>
                    </w:r>
                    <w:r>
                      <w:rPr>
                        <w:sz w:val="24"/>
                        <w:szCs w:val="24"/>
                      </w:rPr>
                      <w:fldChar w:fldCharType="begin"/>
                    </w:r>
                    <w:r>
                      <w:rPr>
                        <w:rStyle w:val="11"/>
                        <w:sz w:val="24"/>
                        <w:szCs w:val="24"/>
                      </w:rPr>
                      <w:instrText xml:space="preserve">PAGE  </w:instrText>
                    </w:r>
                    <w:r>
                      <w:rPr>
                        <w:sz w:val="24"/>
                        <w:szCs w:val="24"/>
                      </w:rPr>
                      <w:fldChar w:fldCharType="separate"/>
                    </w:r>
                    <w:r>
                      <w:rPr>
                        <w:rStyle w:val="11"/>
                        <w:sz w:val="24"/>
                        <w:szCs w:val="24"/>
                      </w:rPr>
                      <w:t>35</w:t>
                    </w:r>
                    <w:r>
                      <w:rPr>
                        <w:sz w:val="24"/>
                        <w:szCs w:val="24"/>
                      </w:rPr>
                      <w:fldChar w:fldCharType="end"/>
                    </w:r>
                    <w:r>
                      <w:rPr>
                        <w:rStyle w:val="11"/>
                        <w:rFonts w:hint="eastAsia"/>
                        <w:sz w:val="24"/>
                        <w:szCs w:val="24"/>
                        <w:lang w:eastAsia="zh-CN"/>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outside" w:y="1"/>
    </w:pPr>
    <w:r>
      <w:fldChar w:fldCharType="begin"/>
    </w:r>
    <w:r>
      <w:instrText xml:space="preserve">PAGE  </w:instrText>
    </w:r>
    <w:r>
      <w:fldChar w:fldCharType="end"/>
    </w:r>
  </w:p>
  <w:p>
    <w:pPr>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E63053F"/>
    <w:multiLevelType w:val="singleLevel"/>
    <w:tmpl w:val="8E63053F"/>
    <w:lvl w:ilvl="0" w:tentative="0">
      <w:start w:val="2"/>
      <w:numFmt w:val="chineseCounting"/>
      <w:suff w:val="nothing"/>
      <w:lvlText w:val="（%1）"/>
      <w:lvlJc w:val="left"/>
      <w:rPr>
        <w:rFonts w:hint="eastAsia"/>
      </w:rPr>
    </w:lvl>
  </w:abstractNum>
  <w:abstractNum w:abstractNumId="1">
    <w:nsid w:val="D439D35C"/>
    <w:multiLevelType w:val="singleLevel"/>
    <w:tmpl w:val="D439D35C"/>
    <w:lvl w:ilvl="0" w:tentative="0">
      <w:start w:val="6"/>
      <w:numFmt w:val="chineseCounting"/>
      <w:suff w:val="nothing"/>
      <w:lvlText w:val="%1、"/>
      <w:lvlJc w:val="left"/>
      <w:rPr>
        <w:rFonts w:hint="eastAsia"/>
      </w:rPr>
    </w:lvl>
  </w:abstractNum>
  <w:abstractNum w:abstractNumId="2">
    <w:nsid w:val="E949F801"/>
    <w:multiLevelType w:val="singleLevel"/>
    <w:tmpl w:val="E949F801"/>
    <w:lvl w:ilvl="0" w:tentative="0">
      <w:start w:val="2"/>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5A6F26"/>
    <w:rsid w:val="01FB00E3"/>
    <w:rsid w:val="021F7ACC"/>
    <w:rsid w:val="04CE0B13"/>
    <w:rsid w:val="055A6F26"/>
    <w:rsid w:val="09950D4D"/>
    <w:rsid w:val="09D601A6"/>
    <w:rsid w:val="0A507703"/>
    <w:rsid w:val="0DB17DCE"/>
    <w:rsid w:val="0EAC45A0"/>
    <w:rsid w:val="0F3C19DC"/>
    <w:rsid w:val="10617141"/>
    <w:rsid w:val="134907CC"/>
    <w:rsid w:val="1A6335FA"/>
    <w:rsid w:val="1A6F2DB8"/>
    <w:rsid w:val="1CD97C73"/>
    <w:rsid w:val="1D3210F6"/>
    <w:rsid w:val="1D6448EF"/>
    <w:rsid w:val="1E0B52D7"/>
    <w:rsid w:val="1E4E1466"/>
    <w:rsid w:val="1F290E1C"/>
    <w:rsid w:val="1F96210F"/>
    <w:rsid w:val="20482FD4"/>
    <w:rsid w:val="21B9237D"/>
    <w:rsid w:val="22BB5883"/>
    <w:rsid w:val="23752929"/>
    <w:rsid w:val="2381352A"/>
    <w:rsid w:val="23931307"/>
    <w:rsid w:val="28FC074F"/>
    <w:rsid w:val="29A34319"/>
    <w:rsid w:val="2A66629F"/>
    <w:rsid w:val="2B185F17"/>
    <w:rsid w:val="2C1535F6"/>
    <w:rsid w:val="2D3A0A07"/>
    <w:rsid w:val="2DE10B55"/>
    <w:rsid w:val="2EE67DDF"/>
    <w:rsid w:val="2F6C19A9"/>
    <w:rsid w:val="2FBC5722"/>
    <w:rsid w:val="31C64031"/>
    <w:rsid w:val="331832B7"/>
    <w:rsid w:val="37035463"/>
    <w:rsid w:val="37E45C6C"/>
    <w:rsid w:val="387A506E"/>
    <w:rsid w:val="39C4528F"/>
    <w:rsid w:val="3A3A1314"/>
    <w:rsid w:val="3B7E060B"/>
    <w:rsid w:val="3BBB1F39"/>
    <w:rsid w:val="3BDB6531"/>
    <w:rsid w:val="3C0C5663"/>
    <w:rsid w:val="3F114B68"/>
    <w:rsid w:val="3F9E4840"/>
    <w:rsid w:val="40E654B3"/>
    <w:rsid w:val="42082596"/>
    <w:rsid w:val="426B5C52"/>
    <w:rsid w:val="428B5316"/>
    <w:rsid w:val="45414B88"/>
    <w:rsid w:val="4650138A"/>
    <w:rsid w:val="46602C0D"/>
    <w:rsid w:val="48911C8B"/>
    <w:rsid w:val="4AA9566D"/>
    <w:rsid w:val="4BA9288D"/>
    <w:rsid w:val="4C4E2AC3"/>
    <w:rsid w:val="4C6116A4"/>
    <w:rsid w:val="4D9A61FE"/>
    <w:rsid w:val="4E2E5608"/>
    <w:rsid w:val="4FC33CBA"/>
    <w:rsid w:val="50476111"/>
    <w:rsid w:val="53553CB7"/>
    <w:rsid w:val="55C504BD"/>
    <w:rsid w:val="56233027"/>
    <w:rsid w:val="5CAC64A4"/>
    <w:rsid w:val="5CE5453C"/>
    <w:rsid w:val="5E010849"/>
    <w:rsid w:val="5F1C016D"/>
    <w:rsid w:val="5F8A5E07"/>
    <w:rsid w:val="5FD22F2F"/>
    <w:rsid w:val="62B70471"/>
    <w:rsid w:val="64C83934"/>
    <w:rsid w:val="65236B49"/>
    <w:rsid w:val="65AA43C0"/>
    <w:rsid w:val="66161E47"/>
    <w:rsid w:val="6685371A"/>
    <w:rsid w:val="66A30D0D"/>
    <w:rsid w:val="68116BFE"/>
    <w:rsid w:val="688A54F1"/>
    <w:rsid w:val="68CD4EDD"/>
    <w:rsid w:val="68CE326F"/>
    <w:rsid w:val="69E31C4A"/>
    <w:rsid w:val="6B2A6AB7"/>
    <w:rsid w:val="6D535020"/>
    <w:rsid w:val="6F19411F"/>
    <w:rsid w:val="6F486338"/>
    <w:rsid w:val="70320DB2"/>
    <w:rsid w:val="703379A9"/>
    <w:rsid w:val="70B962BB"/>
    <w:rsid w:val="742D733A"/>
    <w:rsid w:val="74E360C9"/>
    <w:rsid w:val="76BD5E40"/>
    <w:rsid w:val="789B6814"/>
    <w:rsid w:val="78B97743"/>
    <w:rsid w:val="78CF2A94"/>
    <w:rsid w:val="78EE0E45"/>
    <w:rsid w:val="796A69FF"/>
    <w:rsid w:val="7E627FB6"/>
    <w:rsid w:val="7F4240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Heading3"/>
    <w:basedOn w:val="1"/>
    <w:next w:val="1"/>
    <w:qFormat/>
    <w:uiPriority w:val="99"/>
    <w:pPr>
      <w:keepNext/>
      <w:keepLines/>
      <w:spacing w:line="560" w:lineRule="exact"/>
      <w:textAlignment w:val="baseline"/>
    </w:pPr>
    <w:rPr>
      <w:rFonts w:ascii="Calibri" w:hAnsi="Calibri" w:cs="Calibri"/>
      <w:b/>
      <w:bCs/>
    </w:rPr>
  </w:style>
  <w:style w:type="paragraph" w:styleId="3">
    <w:name w:val="Normal Indent"/>
    <w:basedOn w:val="1"/>
    <w:qFormat/>
    <w:uiPriority w:val="0"/>
    <w:pPr>
      <w:ind w:firstLine="200" w:firstLineChars="200"/>
    </w:pPr>
  </w:style>
  <w:style w:type="paragraph" w:styleId="4">
    <w:name w:val="Body Text Indent 2"/>
    <w:basedOn w:val="1"/>
    <w:qFormat/>
    <w:uiPriority w:val="0"/>
    <w:pPr>
      <w:ind w:firstLine="588" w:firstLineChars="200"/>
    </w:pPr>
    <w:rPr>
      <w:rFonts w:ascii="仿宋_GB2312" w:hAnsi="Calibri" w:eastAsia="仿宋_GB2312"/>
      <w:sz w:val="32"/>
    </w:rPr>
  </w:style>
  <w:style w:type="paragraph" w:styleId="5">
    <w:name w:val="footer"/>
    <w:basedOn w:val="1"/>
    <w:qFormat/>
    <w:uiPriority w:val="0"/>
    <w:pPr>
      <w:tabs>
        <w:tab w:val="center" w:pos="4153"/>
        <w:tab w:val="right" w:pos="8306"/>
      </w:tabs>
      <w:snapToGrid w:val="0"/>
      <w:jc w:val="left"/>
    </w:pPr>
    <w:rPr>
      <w:kern w:val="0"/>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10">
    <w:name w:val="Strong"/>
    <w:basedOn w:val="9"/>
    <w:qFormat/>
    <w:uiPriority w:val="0"/>
    <w:rPr>
      <w:b/>
    </w:rPr>
  </w:style>
  <w:style w:type="character" w:styleId="11">
    <w:name w:val="page number"/>
    <w:qFormat/>
    <w:uiPriority w:val="0"/>
  </w:style>
  <w:style w:type="character" w:customStyle="1" w:styleId="12">
    <w:name w:val="标题 3 Char Char"/>
    <w:qFormat/>
    <w:uiPriority w:val="0"/>
    <w:rPr>
      <w:rFonts w:eastAsia="楷体_GB2312"/>
      <w:b/>
      <w:kern w:val="2"/>
      <w:sz w:val="32"/>
      <w:szCs w:val="24"/>
      <w:lang w:val="en-US" w:eastAsia="zh-CN" w:bidi="ar-SA"/>
    </w:rPr>
  </w:style>
  <w:style w:type="character" w:customStyle="1" w:styleId="13">
    <w:name w:val="NormalCharacter"/>
    <w:semiHidden/>
    <w:qFormat/>
    <w:uiPriority w:val="0"/>
    <w:rPr>
      <w:rFonts w:ascii="Calibri" w:hAnsi="Calibri" w:eastAsia="宋体" w:cs="Times New Roman"/>
      <w:kern w:val="2"/>
      <w:sz w:val="21"/>
      <w:szCs w:val="24"/>
      <w:lang w:val="en-US" w:eastAsia="zh-CN" w:bidi="ar-SA"/>
    </w:rPr>
  </w:style>
  <w:style w:type="paragraph" w:customStyle="1" w:styleId="14">
    <w:name w:val="Body text|1"/>
    <w:basedOn w:val="1"/>
    <w:qFormat/>
    <w:uiPriority w:val="0"/>
    <w:pPr>
      <w:widowControl w:val="0"/>
      <w:shd w:val="clear" w:color="auto" w:fill="auto"/>
      <w:spacing w:line="398" w:lineRule="auto"/>
      <w:ind w:firstLine="400"/>
    </w:pPr>
    <w:rPr>
      <w:rFonts w:ascii="宋体" w:hAnsi="宋体" w:eastAsia="宋体" w:cs="宋体"/>
      <w:color w:val="1A1A1A"/>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5</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2018-05-23T02:39:00Z</dcterms:created>
  <dc:creator>Administrator</dc:creator>
  <cp:lastModifiedBy>Administrator</cp:lastModifiedBy>
  <cp:lastPrinted>2020-06-16T08:24:00Z</cp:lastPrinted>
  <dcterms:modified xsi:type="dcterms:W3CDTF">2023-07-12T03:20:19Z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